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W w:w="0" w:type="auto"/>
        <w:shd w:val="clear" w:color="auto" w:fill="FFFFFF" w:themeFill="background1"/>
        <w:tblCellMar>
          <w:top w:w="113" w:type="dxa"/>
          <w:bottom w:w="113" w:type="dxa"/>
        </w:tblCellMar>
        <w:tblLook w:val="04A0"/>
      </w:tblPr>
      <w:tblGrid>
        <w:gridCol w:w="7801"/>
      </w:tblGrid>
      <w:tr>
        <w:tblPrEx>
          <w:tblW w:w="0" w:type="auto"/>
          <w:shd w:val="clear" w:color="auto" w:fill="FFFFFF" w:themeFill="background1"/>
          <w:tblCellMar>
            <w:top w:w="113" w:type="dxa"/>
            <w:bottom w:w="113" w:type="dxa"/>
          </w:tblCellMar>
          <w:tblLook w:val="04A0"/>
        </w:tblPrEx>
        <w:tc>
          <w:tcPr>
            <w:tcW w:w="0" w:type="auto"/>
            <w:shd w:val="clear" w:color="auto" w:fill="FFFFFF" w:themeFill="background1"/>
          </w:tcPr>
          <w:p w:rsidR="00F14060" w:rsidP="004B45FF">
            <w:pPr>
              <w:pStyle w:val="Title"/>
              <w:spacing w:before="100" w:beforeAutospacing="1" w:after="100" w:afterAutospacing="1"/>
              <w:rPr>
                <w:rFonts w:ascii="Century Gothic" w:hAnsi="Century Gothic"/>
                <w:b/>
                <w:color w:val="auto"/>
              </w:rPr>
            </w:pPr>
            <w:bookmarkStart w:id="0" w:name="_GoBack"/>
            <w:bookmarkEnd w:id="0"/>
            <w:sdt>
              <w:sdtPr>
                <w:rPr>
                  <w:rFonts w:ascii="Century Gothic" w:hAnsi="Century Gothic"/>
                  <w:b/>
                  <w:color w:val="auto"/>
                </w:rPr>
                <w:alias w:val="Title"/>
                <w:id w:val="-503980937"/>
                <w:lock w:val="sdtLocked"/>
                <w:placeholder>
                  <w:docPart w:val="D163F50037E56742B0F7B6AE97273195"/>
                </w:placeholder>
                <w:dataBinding w:prefixMappings="xmlns:ns0='http://purl.org/dc/elements/1.1/' xmlns:ns1='http://schemas.openxmlformats.org/package/2006/metadata/core-properties' " w:xpath="/ns1:coreProperties[1]/ns0:title[1]" w:storeItemID="{6C3C8BC8-F283-45AE-878A-BAB7291924A1}"/>
                <w:text w:multiLine="1"/>
              </w:sdtPr>
              <w:sdtContent>
                <w:r w:rsidR="0077486A">
                  <w:rPr>
                    <w:rFonts w:ascii="Century Gothic" w:hAnsi="Century Gothic"/>
                    <w:b/>
                    <w:color w:val="auto"/>
                  </w:rPr>
                  <w:t>IDOX Enterprise and Capability Review</w:t>
                </w:r>
              </w:sdtContent>
            </w:sdt>
          </w:p>
        </w:tc>
      </w:tr>
      <w:tr>
        <w:tblPrEx>
          <w:tblW w:w="0" w:type="auto"/>
          <w:shd w:val="clear" w:color="auto" w:fill="FFFFFF" w:themeFill="background1"/>
          <w:tblCellMar>
            <w:top w:w="113" w:type="dxa"/>
            <w:bottom w:w="113" w:type="dxa"/>
          </w:tblCellMar>
          <w:tblLook w:val="04A0"/>
        </w:tblPrEx>
        <w:sdt>
          <w:sdtPr>
            <w:rPr>
              <w:rFonts w:ascii="Century Gothic" w:hAnsi="Century Gothic"/>
              <w:color w:val="auto"/>
            </w:rPr>
            <w:alias w:val="Subject"/>
            <w:id w:val="-207796622"/>
            <w:lock w:val="sdtLocked"/>
            <w:placeholder>
              <w:docPart w:val="CF8072CDCC26674CB8C2EA03FE2D224C"/>
            </w:placeholder>
            <w:dataBinding w:prefixMappings="xmlns:ns0='http://purl.org/dc/elements/1.1/' xmlns:ns1='http://schemas.openxmlformats.org/package/2006/metadata/core-properties' " w:xpath="/ns1:coreProperties[1]/ns0:subject[1]" w:storeItemID="{6C3C8BC8-F283-45AE-878A-BAB7291924A1}"/>
            <w:text w:multiLine="1"/>
          </w:sdtPr>
          <w:sdtContent>
            <w:tc>
              <w:tcPr>
                <w:tcW w:w="0" w:type="auto"/>
                <w:shd w:val="clear" w:color="auto" w:fill="FFFFFF" w:themeFill="background1"/>
              </w:tcPr>
              <w:p w:rsidR="00F14060">
                <w:pPr>
                  <w:pStyle w:val="Subtitle"/>
                  <w:spacing w:before="100" w:beforeAutospacing="1" w:after="100" w:afterAutospacing="1"/>
                  <w:jc w:val="both"/>
                  <w:rPr>
                    <w:rFonts w:ascii="Century Gothic" w:hAnsi="Century Gothic"/>
                    <w:color w:val="00CC99"/>
                  </w:rPr>
                </w:pPr>
                <w:r>
                  <w:rPr>
                    <w:rFonts w:ascii="Century Gothic" w:hAnsi="Century Gothic"/>
                    <w:color w:val="auto"/>
                  </w:rPr>
                  <w:t>Project Scope</w:t>
                </w:r>
              </w:p>
            </w:tc>
          </w:sdtContent>
        </w:sdt>
      </w:tr>
    </w:tbl>
    <w:p w:rsidR="00F14060">
      <w:pPr>
        <w:spacing w:before="100" w:beforeAutospacing="1" w:after="100" w:afterAutospacing="1"/>
        <w:jc w:val="both"/>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0288" behindDoc="0" locked="1" layoutInCell="1" allowOverlap="1">
                <wp:simplePos x="0" y="0"/>
                <wp:positionH relativeFrom="page">
                  <wp:posOffset>1633220</wp:posOffset>
                </wp:positionH>
                <wp:positionV relativeFrom="paragraph">
                  <wp:posOffset>-17146</wp:posOffset>
                </wp:positionV>
                <wp:extent cx="5939790" cy="0"/>
                <wp:effectExtent l="0" t="19050" r="22860" b="381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a:off x="0" y="0"/>
                          <a:ext cx="5939790" cy="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8" o:spid="_x0000_s1025" style="mso-height-percent:0;mso-height-relative:page;mso-position-horizontal-relative:page;mso-width-percent:0;mso-width-relative:margin;mso-wrap-distance-bottom:0;mso-wrap-distance-left:9pt;mso-wrap-distance-right:9pt;mso-wrap-distance-top:0;mso-wrap-style:square;position:absolute;visibility:visible;z-index:251661312" from="128.6pt,-1.35pt" to="596.3pt,-1.35pt" strokecolor="white" strokeweight="4.5pt">
                <w10:anchorlock/>
              </v:line>
            </w:pict>
          </mc:Fallback>
        </mc:AlternateContent>
      </w:r>
      <w:r>
        <w:rPr>
          <w:rFonts w:ascii="Century Gothic" w:hAnsi="Century Gothic"/>
          <w:noProof/>
          <w:lang w:eastAsia="en-GB"/>
        </w:rPr>
        <mc:AlternateContent>
          <mc:Choice Requires="wps">
            <w:drawing>
              <wp:anchor distT="0" distB="0" distL="114300" distR="114300" simplePos="0" relativeHeight="251658240" behindDoc="0" locked="1" layoutInCell="1" allowOverlap="1">
                <wp:simplePos x="0" y="0"/>
                <wp:positionH relativeFrom="page">
                  <wp:align>left</wp:align>
                </wp:positionH>
                <wp:positionV relativeFrom="margin">
                  <wp:align>top</wp:align>
                </wp:positionV>
                <wp:extent cx="1682115" cy="0"/>
                <wp:effectExtent l="0" t="19050" r="13335" b="3810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1682115" cy="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mso-height-percent:0;mso-height-relative:page;mso-position-horizontal:left;mso-position-horizontal-relative:page;mso-position-vertical:top;mso-position-vertical-relative:margin;mso-width-percent:0;mso-width-relative:margin;mso-wrap-distance-bottom:0;mso-wrap-distance-left:9pt;mso-wrap-distance-right:9pt;mso-wrap-distance-top:0;mso-wrap-style:square;position:absolute;visibility:visible;z-index:251659264" from="0,0" to="132.45pt,0" strokecolor="white" strokeweight="4.5pt">
                <w10:wrap anchory="margin"/>
                <w10:anchorlock/>
              </v:line>
            </w:pict>
          </mc:Fallback>
        </mc:AlternateContent>
      </w:r>
    </w:p>
    <w:p w:rsidR="00F14060">
      <w:pPr>
        <w:spacing w:before="100" w:beforeAutospacing="1" w:after="100" w:afterAutospacing="1"/>
        <w:jc w:val="both"/>
        <w:rPr>
          <w:rFonts w:ascii="Century Gothic" w:hAnsi="Century Gothic"/>
        </w:rPr>
      </w:pPr>
    </w:p>
    <w:p w:rsidR="00F14060">
      <w:pPr>
        <w:spacing w:before="100" w:beforeAutospacing="1" w:after="100" w:afterAutospacing="1"/>
        <w:jc w:val="both"/>
        <w:rPr>
          <w:rFonts w:ascii="Century Gothic" w:hAnsi="Century Gothic"/>
        </w:rPr>
        <w:sectPr>
          <w:headerReference w:type="default" r:id="rId8"/>
          <w:footerReference w:type="default" r:id="rId9"/>
          <w:pgSz w:w="11906" w:h="16838"/>
          <w:pgMar w:top="5387" w:right="1440" w:bottom="1440" w:left="2665" w:header="709" w:footer="709" w:gutter="0"/>
          <w:cols w:space="708"/>
          <w:docGrid w:linePitch="360"/>
        </w:sectPr>
      </w:pPr>
    </w:p>
    <w:p w:rsidR="00F14060">
      <w:pPr>
        <w:widowControl w:val="0"/>
        <w:autoSpaceDE w:val="0"/>
        <w:autoSpaceDN w:val="0"/>
        <w:adjustRightInd w:val="0"/>
        <w:spacing w:before="100" w:beforeAutospacing="1" w:after="100" w:afterAutospacing="1"/>
        <w:jc w:val="both"/>
        <w:rPr>
          <w:rFonts w:ascii="Century Gothic" w:hAnsi="Century Gothic" w:cs="Times New Roman"/>
          <w:b/>
          <w:sz w:val="24"/>
          <w:szCs w:val="24"/>
        </w:rPr>
      </w:pPr>
      <w:r>
        <w:rPr>
          <w:rFonts w:ascii="Century Gothic" w:hAnsi="Century Gothic" w:cs="Arial"/>
          <w:b/>
          <w:sz w:val="60"/>
          <w:szCs w:val="60"/>
        </w:rPr>
        <w:t>Document Control</w:t>
      </w:r>
    </w:p>
    <w:p w:rsidR="00F14060">
      <w:pPr>
        <w:widowControl w:val="0"/>
        <w:autoSpaceDE w:val="0"/>
        <w:autoSpaceDN w:val="0"/>
        <w:adjustRightInd w:val="0"/>
        <w:spacing w:before="100" w:beforeAutospacing="1" w:after="100" w:afterAutospacing="1"/>
        <w:jc w:val="both"/>
        <w:rPr>
          <w:rFonts w:ascii="Century Gothic" w:hAnsi="Century Gothic" w:cs="Arial"/>
          <w:b/>
          <w:bCs/>
          <w:sz w:val="30"/>
          <w:szCs w:val="30"/>
        </w:rPr>
      </w:pPr>
      <w:bookmarkStart w:id="1" w:name="_Toc384365308"/>
      <w:bookmarkStart w:id="2" w:name="_Toc384365316"/>
      <w:bookmarkStart w:id="3" w:name="_Toc384365324"/>
      <w:bookmarkStart w:id="4" w:name="_Toc384365332"/>
      <w:bookmarkStart w:id="5" w:name="_Toc386440465"/>
      <w:r>
        <w:rPr>
          <w:rFonts w:ascii="Century Gothic" w:hAnsi="Century Gothic" w:cs="Arial"/>
          <w:b/>
          <w:sz w:val="37"/>
          <w:szCs w:val="37"/>
        </w:rPr>
        <w:br/>
      </w:r>
      <w:r>
        <w:rPr>
          <w:rFonts w:ascii="Century Gothic" w:hAnsi="Century Gothic" w:cs="Arial"/>
          <w:b/>
          <w:bCs/>
          <w:sz w:val="30"/>
          <w:szCs w:val="30"/>
        </w:rPr>
        <w:t>Summary</w:t>
      </w:r>
    </w:p>
    <w:tbl>
      <w:tblPr>
        <w:tblStyle w:val="TableGrid"/>
        <w:tblW w:w="0" w:type="auto"/>
        <w:tblLook w:val="00A0"/>
      </w:tblPr>
      <w:tblGrid>
        <w:gridCol w:w="2402"/>
        <w:gridCol w:w="7226"/>
      </w:tblGrid>
      <w:tr>
        <w:tblPrEx>
          <w:tblW w:w="0" w:type="auto"/>
          <w:tblLook w:val="00A0"/>
        </w:tblPrEx>
        <w:trPr>
          <w:trHeight w:val="397"/>
        </w:trPr>
        <w:tc>
          <w:tcPr>
            <w:tcW w:w="2547" w:type="dxa"/>
            <w:shd w:val="solid" w:color="D9D9D9" w:fill="auto" w:themeColor="background1" w:themeShade="D9"/>
            <w:vAlign w:val="center"/>
          </w:tcPr>
          <w:p w:rsidR="00F14060">
            <w:pPr>
              <w:widowControl w:val="0"/>
              <w:autoSpaceDE w:val="0"/>
              <w:autoSpaceDN w:val="0"/>
              <w:adjustRightInd w:val="0"/>
              <w:spacing w:before="100" w:beforeAutospacing="1" w:after="100" w:afterAutospacing="1"/>
              <w:jc w:val="both"/>
              <w:rPr>
                <w:rFonts w:ascii="Century Gothic" w:hAnsi="Century Gothic" w:cs="Times New Roman"/>
                <w:b/>
                <w:szCs w:val="24"/>
              </w:rPr>
            </w:pPr>
            <w:r>
              <w:rPr>
                <w:rFonts w:ascii="Century Gothic" w:hAnsi="Century Gothic" w:cs="Times New Roman"/>
                <w:b/>
                <w:szCs w:val="24"/>
              </w:rPr>
              <w:t>Project</w:t>
            </w:r>
            <w:r w:rsidR="00D069C2">
              <w:rPr>
                <w:rFonts w:ascii="Century Gothic" w:hAnsi="Century Gothic" w:cs="Times New Roman"/>
                <w:b/>
                <w:szCs w:val="24"/>
              </w:rPr>
              <w:t xml:space="preserve"> name</w:t>
            </w:r>
          </w:p>
        </w:tc>
        <w:tc>
          <w:tcPr>
            <w:tcW w:w="7933" w:type="dxa"/>
            <w:vAlign w:val="center"/>
          </w:tcPr>
          <w:p w:rsidR="00F14060" w:rsidP="004B45FF">
            <w:pPr>
              <w:widowControl w:val="0"/>
              <w:autoSpaceDE w:val="0"/>
              <w:autoSpaceDN w:val="0"/>
              <w:adjustRightInd w:val="0"/>
              <w:spacing w:before="100" w:beforeAutospacing="1" w:after="100" w:afterAutospacing="1"/>
              <w:jc w:val="both"/>
              <w:rPr>
                <w:rFonts w:ascii="Century Gothic" w:hAnsi="Century Gothic" w:cs="Times New Roman"/>
                <w:szCs w:val="24"/>
              </w:rPr>
            </w:pPr>
            <w:r>
              <w:rPr>
                <w:rFonts w:ascii="Century Gothic" w:hAnsi="Century Gothic" w:cs="Times New Roman"/>
                <w:szCs w:val="24"/>
              </w:rPr>
              <w:t xml:space="preserve">IDOX </w:t>
            </w:r>
            <w:r w:rsidR="004B45FF">
              <w:rPr>
                <w:rFonts w:ascii="Century Gothic" w:hAnsi="Century Gothic" w:cs="Times New Roman"/>
                <w:szCs w:val="24"/>
              </w:rPr>
              <w:t>Enterprise and Capability Review</w:t>
            </w:r>
          </w:p>
        </w:tc>
      </w:tr>
      <w:tr>
        <w:tblPrEx>
          <w:tblW w:w="0" w:type="auto"/>
          <w:tblLook w:val="00A0"/>
        </w:tblPrEx>
        <w:trPr>
          <w:trHeight w:val="397"/>
        </w:trPr>
        <w:tc>
          <w:tcPr>
            <w:tcW w:w="2547" w:type="dxa"/>
            <w:shd w:val="solid" w:color="D9D9D9" w:fill="auto" w:themeColor="background1" w:themeShade="D9"/>
            <w:vAlign w:val="center"/>
          </w:tcPr>
          <w:p w:rsidR="00F14060">
            <w:pPr>
              <w:widowControl w:val="0"/>
              <w:autoSpaceDE w:val="0"/>
              <w:autoSpaceDN w:val="0"/>
              <w:adjustRightInd w:val="0"/>
              <w:spacing w:before="100" w:beforeAutospacing="1" w:after="100" w:afterAutospacing="1"/>
              <w:jc w:val="both"/>
              <w:rPr>
                <w:rFonts w:ascii="Century Gothic" w:hAnsi="Century Gothic" w:cs="Times New Roman"/>
                <w:b/>
                <w:szCs w:val="24"/>
              </w:rPr>
            </w:pPr>
            <w:r>
              <w:rPr>
                <w:rFonts w:ascii="Century Gothic" w:hAnsi="Century Gothic" w:cs="Times New Roman"/>
                <w:b/>
                <w:szCs w:val="24"/>
              </w:rPr>
              <w:t>Project Name</w:t>
            </w:r>
          </w:p>
        </w:tc>
        <w:tc>
          <w:tcPr>
            <w:tcW w:w="7933" w:type="dxa"/>
            <w:vAlign w:val="center"/>
          </w:tcPr>
          <w:p w:rsidR="00F14060">
            <w:pPr>
              <w:widowControl w:val="0"/>
              <w:autoSpaceDE w:val="0"/>
              <w:autoSpaceDN w:val="0"/>
              <w:adjustRightInd w:val="0"/>
              <w:spacing w:before="100" w:beforeAutospacing="1" w:after="100" w:afterAutospacing="1"/>
              <w:jc w:val="both"/>
              <w:rPr>
                <w:rFonts w:ascii="Century Gothic" w:hAnsi="Century Gothic" w:cs="Times New Roman"/>
                <w:szCs w:val="24"/>
              </w:rPr>
            </w:pPr>
            <w:r>
              <w:rPr>
                <w:rFonts w:ascii="Century Gothic" w:hAnsi="Century Gothic" w:cs="Times New Roman"/>
                <w:szCs w:val="24"/>
              </w:rPr>
              <w:t xml:space="preserve">IDOX </w:t>
            </w:r>
          </w:p>
        </w:tc>
      </w:tr>
      <w:tr>
        <w:tblPrEx>
          <w:tblW w:w="0" w:type="auto"/>
          <w:tblLook w:val="00A0"/>
        </w:tblPrEx>
        <w:trPr>
          <w:trHeight w:val="397"/>
        </w:trPr>
        <w:tc>
          <w:tcPr>
            <w:tcW w:w="2547" w:type="dxa"/>
            <w:shd w:val="solid" w:color="D9D9D9" w:fill="auto" w:themeColor="background1" w:themeShade="D9"/>
            <w:vAlign w:val="center"/>
          </w:tcPr>
          <w:p w:rsidR="00F14060">
            <w:pPr>
              <w:widowControl w:val="0"/>
              <w:autoSpaceDE w:val="0"/>
              <w:autoSpaceDN w:val="0"/>
              <w:adjustRightInd w:val="0"/>
              <w:spacing w:before="100" w:beforeAutospacing="1" w:after="100" w:afterAutospacing="1"/>
              <w:jc w:val="both"/>
              <w:rPr>
                <w:rFonts w:ascii="Century Gothic" w:hAnsi="Century Gothic" w:cs="Times New Roman"/>
                <w:b/>
                <w:szCs w:val="24"/>
              </w:rPr>
            </w:pPr>
            <w:r>
              <w:rPr>
                <w:rFonts w:ascii="Century Gothic" w:hAnsi="Century Gothic" w:cs="Times New Roman"/>
                <w:b/>
                <w:szCs w:val="24"/>
              </w:rPr>
              <w:t>SRO</w:t>
            </w:r>
          </w:p>
        </w:tc>
        <w:tc>
          <w:tcPr>
            <w:tcW w:w="7933" w:type="dxa"/>
            <w:vAlign w:val="center"/>
          </w:tcPr>
          <w:p w:rsidR="00F14060">
            <w:pPr>
              <w:widowControl w:val="0"/>
              <w:autoSpaceDE w:val="0"/>
              <w:autoSpaceDN w:val="0"/>
              <w:adjustRightInd w:val="0"/>
              <w:spacing w:before="100" w:beforeAutospacing="1" w:after="100" w:afterAutospacing="1"/>
              <w:jc w:val="both"/>
              <w:rPr>
                <w:rFonts w:ascii="Century Gothic" w:hAnsi="Century Gothic" w:cs="Times New Roman"/>
                <w:szCs w:val="24"/>
              </w:rPr>
            </w:pPr>
            <w:r>
              <w:rPr>
                <w:rFonts w:ascii="Century Gothic" w:hAnsi="Century Gothic" w:cs="Times New Roman"/>
                <w:szCs w:val="24"/>
              </w:rPr>
              <w:t>Paul Hussey</w:t>
            </w:r>
          </w:p>
        </w:tc>
      </w:tr>
      <w:tr>
        <w:tblPrEx>
          <w:tblW w:w="0" w:type="auto"/>
          <w:tblLook w:val="00A0"/>
        </w:tblPrEx>
        <w:trPr>
          <w:trHeight w:val="397"/>
        </w:trPr>
        <w:tc>
          <w:tcPr>
            <w:tcW w:w="2547" w:type="dxa"/>
            <w:shd w:val="solid" w:color="D9D9D9" w:fill="auto" w:themeColor="background1" w:themeShade="D9"/>
            <w:vAlign w:val="center"/>
          </w:tcPr>
          <w:p w:rsidR="00F14060">
            <w:pPr>
              <w:widowControl w:val="0"/>
              <w:autoSpaceDE w:val="0"/>
              <w:autoSpaceDN w:val="0"/>
              <w:adjustRightInd w:val="0"/>
              <w:spacing w:before="100" w:beforeAutospacing="1" w:after="100" w:afterAutospacing="1"/>
              <w:jc w:val="both"/>
              <w:rPr>
                <w:rFonts w:ascii="Century Gothic" w:hAnsi="Century Gothic" w:cs="Times New Roman"/>
                <w:b/>
                <w:szCs w:val="24"/>
              </w:rPr>
            </w:pPr>
            <w:r>
              <w:rPr>
                <w:rFonts w:ascii="Century Gothic" w:hAnsi="Century Gothic" w:cs="Times New Roman"/>
                <w:b/>
                <w:szCs w:val="24"/>
              </w:rPr>
              <w:t>Project Manager</w:t>
            </w:r>
          </w:p>
        </w:tc>
        <w:tc>
          <w:tcPr>
            <w:tcW w:w="7933" w:type="dxa"/>
            <w:vAlign w:val="center"/>
          </w:tcPr>
          <w:p w:rsidR="00F14060">
            <w:pPr>
              <w:widowControl w:val="0"/>
              <w:autoSpaceDE w:val="0"/>
              <w:autoSpaceDN w:val="0"/>
              <w:adjustRightInd w:val="0"/>
              <w:spacing w:before="100" w:beforeAutospacing="1" w:after="100" w:afterAutospacing="1"/>
              <w:jc w:val="both"/>
              <w:rPr>
                <w:rFonts w:ascii="Century Gothic" w:hAnsi="Century Gothic" w:cs="Times New Roman"/>
                <w:szCs w:val="24"/>
              </w:rPr>
            </w:pPr>
            <w:r>
              <w:rPr>
                <w:rFonts w:ascii="Century Gothic" w:hAnsi="Century Gothic" w:cs="Times New Roman"/>
                <w:szCs w:val="24"/>
              </w:rPr>
              <w:t>Angie Johnson</w:t>
            </w:r>
          </w:p>
        </w:tc>
      </w:tr>
      <w:tr>
        <w:tblPrEx>
          <w:tblW w:w="0" w:type="auto"/>
          <w:tblLook w:val="00A0"/>
        </w:tblPrEx>
        <w:trPr>
          <w:trHeight w:val="397"/>
        </w:trPr>
        <w:tc>
          <w:tcPr>
            <w:tcW w:w="2547" w:type="dxa"/>
            <w:shd w:val="solid" w:color="D9D9D9" w:fill="auto" w:themeColor="background1" w:themeShade="D9"/>
            <w:vAlign w:val="center"/>
          </w:tcPr>
          <w:p w:rsidR="00F14060">
            <w:pPr>
              <w:widowControl w:val="0"/>
              <w:autoSpaceDE w:val="0"/>
              <w:autoSpaceDN w:val="0"/>
              <w:adjustRightInd w:val="0"/>
              <w:spacing w:before="100" w:beforeAutospacing="1" w:after="100" w:afterAutospacing="1"/>
              <w:jc w:val="both"/>
              <w:rPr>
                <w:rFonts w:ascii="Century Gothic" w:hAnsi="Century Gothic" w:cs="Times New Roman"/>
                <w:b/>
                <w:szCs w:val="24"/>
              </w:rPr>
            </w:pPr>
            <w:r>
              <w:rPr>
                <w:rFonts w:ascii="Century Gothic" w:hAnsi="Century Gothic" w:cs="Times New Roman"/>
                <w:b/>
                <w:szCs w:val="24"/>
              </w:rPr>
              <w:t>Author</w:t>
            </w:r>
          </w:p>
        </w:tc>
        <w:tc>
          <w:tcPr>
            <w:tcW w:w="7933" w:type="dxa"/>
            <w:vAlign w:val="center"/>
          </w:tcPr>
          <w:p w:rsidR="00F14060">
            <w:pPr>
              <w:widowControl w:val="0"/>
              <w:autoSpaceDE w:val="0"/>
              <w:autoSpaceDN w:val="0"/>
              <w:adjustRightInd w:val="0"/>
              <w:spacing w:before="100" w:beforeAutospacing="1" w:after="100" w:afterAutospacing="1"/>
              <w:jc w:val="both"/>
              <w:rPr>
                <w:rFonts w:ascii="Century Gothic" w:hAnsi="Century Gothic" w:cs="Times New Roman"/>
                <w:szCs w:val="24"/>
              </w:rPr>
            </w:pPr>
            <w:r>
              <w:rPr>
                <w:rFonts w:ascii="Century Gothic" w:hAnsi="Century Gothic" w:cs="Times New Roman"/>
                <w:szCs w:val="24"/>
              </w:rPr>
              <w:t>Angie Johnson, Charles Doherty</w:t>
            </w:r>
          </w:p>
        </w:tc>
      </w:tr>
      <w:tr>
        <w:tblPrEx>
          <w:tblW w:w="0" w:type="auto"/>
          <w:tblLook w:val="00A0"/>
        </w:tblPrEx>
        <w:trPr>
          <w:trHeight w:val="397"/>
        </w:trPr>
        <w:tc>
          <w:tcPr>
            <w:tcW w:w="2547" w:type="dxa"/>
            <w:shd w:val="solid" w:color="D9D9D9" w:fill="auto" w:themeColor="background1" w:themeShade="D9"/>
            <w:vAlign w:val="center"/>
          </w:tcPr>
          <w:p w:rsidR="00F14060">
            <w:pPr>
              <w:widowControl w:val="0"/>
              <w:autoSpaceDE w:val="0"/>
              <w:autoSpaceDN w:val="0"/>
              <w:adjustRightInd w:val="0"/>
              <w:spacing w:before="100" w:beforeAutospacing="1" w:after="100" w:afterAutospacing="1"/>
              <w:jc w:val="both"/>
              <w:rPr>
                <w:rFonts w:ascii="Century Gothic" w:hAnsi="Century Gothic" w:cs="Times New Roman"/>
                <w:b/>
                <w:szCs w:val="24"/>
              </w:rPr>
            </w:pPr>
            <w:r>
              <w:rPr>
                <w:rFonts w:ascii="Century Gothic" w:hAnsi="Century Gothic" w:cs="Times New Roman"/>
                <w:b/>
                <w:szCs w:val="24"/>
              </w:rPr>
              <w:t>Date</w:t>
            </w:r>
          </w:p>
        </w:tc>
        <w:tc>
          <w:tcPr>
            <w:tcW w:w="7933" w:type="dxa"/>
            <w:vAlign w:val="center"/>
          </w:tcPr>
          <w:p w:rsidR="00F14060">
            <w:pPr>
              <w:widowControl w:val="0"/>
              <w:autoSpaceDE w:val="0"/>
              <w:autoSpaceDN w:val="0"/>
              <w:adjustRightInd w:val="0"/>
              <w:spacing w:before="100" w:beforeAutospacing="1" w:after="100" w:afterAutospacing="1"/>
              <w:jc w:val="both"/>
              <w:rPr>
                <w:rFonts w:ascii="Century Gothic" w:hAnsi="Century Gothic" w:cs="Times New Roman"/>
                <w:szCs w:val="24"/>
              </w:rPr>
            </w:pPr>
            <w:r>
              <w:rPr>
                <w:rFonts w:ascii="Century Gothic" w:hAnsi="Century Gothic" w:cs="Times New Roman"/>
                <w:szCs w:val="24"/>
              </w:rPr>
              <w:t>27/09</w:t>
            </w:r>
            <w:r w:rsidR="00D069C2">
              <w:rPr>
                <w:rFonts w:ascii="Century Gothic" w:hAnsi="Century Gothic" w:cs="Times New Roman"/>
                <w:szCs w:val="24"/>
              </w:rPr>
              <w:t>/19</w:t>
            </w:r>
          </w:p>
        </w:tc>
      </w:tr>
    </w:tbl>
    <w:p w:rsidR="00F14060">
      <w:pPr>
        <w:widowControl w:val="0"/>
        <w:autoSpaceDE w:val="0"/>
        <w:autoSpaceDN w:val="0"/>
        <w:adjustRightInd w:val="0"/>
        <w:spacing w:before="100" w:beforeAutospacing="1" w:after="100" w:afterAutospacing="1"/>
        <w:jc w:val="both"/>
        <w:rPr>
          <w:rFonts w:ascii="Century Gothic" w:hAnsi="Century Gothic" w:cs="Arial"/>
          <w:b/>
          <w:bCs/>
          <w:sz w:val="30"/>
          <w:szCs w:val="30"/>
        </w:rPr>
      </w:pPr>
      <w:r>
        <w:rPr>
          <w:rFonts w:ascii="Century Gothic" w:hAnsi="Century Gothic" w:cs="Arial"/>
          <w:b/>
          <w:bCs/>
          <w:sz w:val="30"/>
          <w:szCs w:val="30"/>
        </w:rPr>
        <w:t>Version Control</w:t>
      </w:r>
    </w:p>
    <w:tbl>
      <w:tblPr>
        <w:tblStyle w:val="TableGrid"/>
        <w:tblW w:w="0" w:type="auto"/>
        <w:tblLook w:val="04A0"/>
      </w:tblPr>
      <w:tblGrid>
        <w:gridCol w:w="1108"/>
        <w:gridCol w:w="1412"/>
        <w:gridCol w:w="2076"/>
        <w:gridCol w:w="5032"/>
      </w:tblGrid>
      <w:tr>
        <w:tblPrEx>
          <w:tblW w:w="0" w:type="auto"/>
          <w:tblLook w:val="04A0"/>
        </w:tblPrEx>
        <w:tc>
          <w:tcPr>
            <w:tcW w:w="1129" w:type="dxa"/>
            <w:shd w:val="clear" w:color="auto" w:fill="D9D9D9" w:themeFill="background1" w:themeFillShade="D9"/>
          </w:tcPr>
          <w:p w:rsidR="00F14060">
            <w:pPr>
              <w:rPr>
                <w:rFonts w:ascii="Century Gothic" w:hAnsi="Century Gothic"/>
                <w:b/>
              </w:rPr>
            </w:pPr>
            <w:r>
              <w:rPr>
                <w:rFonts w:ascii="Century Gothic" w:hAnsi="Century Gothic"/>
                <w:b/>
              </w:rPr>
              <w:t>Version</w:t>
            </w:r>
          </w:p>
        </w:tc>
        <w:tc>
          <w:tcPr>
            <w:tcW w:w="1418" w:type="dxa"/>
            <w:shd w:val="clear" w:color="auto" w:fill="D9D9D9" w:themeFill="background1" w:themeFillShade="D9"/>
          </w:tcPr>
          <w:p w:rsidR="00F14060">
            <w:pPr>
              <w:rPr>
                <w:rFonts w:ascii="Century Gothic" w:hAnsi="Century Gothic"/>
                <w:b/>
              </w:rPr>
            </w:pPr>
            <w:r>
              <w:rPr>
                <w:rFonts w:ascii="Century Gothic" w:hAnsi="Century Gothic"/>
                <w:b/>
              </w:rPr>
              <w:t>Date</w:t>
            </w:r>
          </w:p>
        </w:tc>
        <w:tc>
          <w:tcPr>
            <w:tcW w:w="2268" w:type="dxa"/>
            <w:shd w:val="clear" w:color="auto" w:fill="D9D9D9" w:themeFill="background1" w:themeFillShade="D9"/>
          </w:tcPr>
          <w:p w:rsidR="00F14060">
            <w:pPr>
              <w:rPr>
                <w:rFonts w:ascii="Century Gothic" w:hAnsi="Century Gothic"/>
                <w:b/>
              </w:rPr>
            </w:pPr>
            <w:r>
              <w:rPr>
                <w:rFonts w:ascii="Century Gothic" w:hAnsi="Century Gothic"/>
                <w:b/>
              </w:rPr>
              <w:t>Author</w:t>
            </w:r>
          </w:p>
        </w:tc>
        <w:tc>
          <w:tcPr>
            <w:tcW w:w="5665" w:type="dxa"/>
            <w:shd w:val="clear" w:color="auto" w:fill="D9D9D9" w:themeFill="background1" w:themeFillShade="D9"/>
          </w:tcPr>
          <w:p w:rsidR="00F14060">
            <w:pPr>
              <w:rPr>
                <w:rFonts w:ascii="Century Gothic" w:hAnsi="Century Gothic"/>
                <w:b/>
              </w:rPr>
            </w:pPr>
            <w:r>
              <w:rPr>
                <w:rFonts w:ascii="Century Gothic" w:hAnsi="Century Gothic"/>
                <w:b/>
              </w:rPr>
              <w:t>Change Description</w:t>
            </w:r>
            <w:r>
              <w:rPr>
                <w:rFonts w:ascii="Century Gothic" w:hAnsi="Century Gothic"/>
                <w:b/>
              </w:rPr>
              <w:br/>
            </w:r>
          </w:p>
        </w:tc>
      </w:tr>
      <w:tr>
        <w:tblPrEx>
          <w:tblW w:w="0" w:type="auto"/>
          <w:tblLook w:val="04A0"/>
        </w:tblPrEx>
        <w:tc>
          <w:tcPr>
            <w:tcW w:w="1129" w:type="dxa"/>
          </w:tcPr>
          <w:p w:rsidR="00F14060">
            <w:pPr>
              <w:rPr>
                <w:rFonts w:ascii="Century Gothic" w:hAnsi="Century Gothic"/>
              </w:rPr>
            </w:pPr>
            <w:r>
              <w:rPr>
                <w:rFonts w:ascii="Century Gothic" w:hAnsi="Century Gothic"/>
              </w:rPr>
              <w:t>1.0</w:t>
            </w:r>
          </w:p>
          <w:p w:rsidR="00F14060">
            <w:pPr>
              <w:rPr>
                <w:rFonts w:ascii="Century Gothic" w:hAnsi="Century Gothic"/>
              </w:rPr>
            </w:pPr>
          </w:p>
        </w:tc>
        <w:tc>
          <w:tcPr>
            <w:tcW w:w="1418" w:type="dxa"/>
          </w:tcPr>
          <w:p w:rsidR="00F14060">
            <w:pPr>
              <w:rPr>
                <w:rFonts w:ascii="Century Gothic" w:hAnsi="Century Gothic"/>
              </w:rPr>
            </w:pPr>
            <w:r>
              <w:rPr>
                <w:rFonts w:ascii="Century Gothic" w:hAnsi="Century Gothic"/>
              </w:rPr>
              <w:t>27/09</w:t>
            </w:r>
            <w:r w:rsidR="00D069C2">
              <w:rPr>
                <w:rFonts w:ascii="Century Gothic" w:hAnsi="Century Gothic"/>
              </w:rPr>
              <w:t>/2019</w:t>
            </w:r>
          </w:p>
        </w:tc>
        <w:tc>
          <w:tcPr>
            <w:tcW w:w="2268" w:type="dxa"/>
          </w:tcPr>
          <w:p w:rsidR="00F14060">
            <w:pPr>
              <w:rPr>
                <w:rFonts w:ascii="Century Gothic" w:hAnsi="Century Gothic"/>
              </w:rPr>
            </w:pPr>
            <w:r>
              <w:rPr>
                <w:rFonts w:ascii="Century Gothic" w:hAnsi="Century Gothic"/>
              </w:rPr>
              <w:t>Angie Johnson, Charles Doherty</w:t>
            </w:r>
          </w:p>
        </w:tc>
        <w:tc>
          <w:tcPr>
            <w:tcW w:w="5665" w:type="dxa"/>
          </w:tcPr>
          <w:p w:rsidR="00F14060">
            <w:pPr>
              <w:rPr>
                <w:rFonts w:ascii="Century Gothic" w:hAnsi="Century Gothic"/>
              </w:rPr>
            </w:pPr>
            <w:r>
              <w:rPr>
                <w:rFonts w:ascii="Century Gothic" w:hAnsi="Century Gothic"/>
              </w:rPr>
              <w:t>First Draft</w:t>
            </w:r>
          </w:p>
        </w:tc>
      </w:tr>
      <w:tr>
        <w:tblPrEx>
          <w:tblW w:w="0" w:type="auto"/>
          <w:tblLook w:val="04A0"/>
        </w:tblPrEx>
        <w:tc>
          <w:tcPr>
            <w:tcW w:w="1129" w:type="dxa"/>
          </w:tcPr>
          <w:p w:rsidR="00F14060" w:rsidRPr="00BE4648">
            <w:pPr>
              <w:rPr>
                <w:rFonts w:ascii="Century Gothic" w:hAnsi="Century Gothic"/>
              </w:rPr>
            </w:pPr>
            <w:r w:rsidRPr="00BE4648">
              <w:rPr>
                <w:rFonts w:ascii="Century Gothic" w:hAnsi="Century Gothic"/>
              </w:rPr>
              <w:t>2.0</w:t>
            </w:r>
          </w:p>
        </w:tc>
        <w:tc>
          <w:tcPr>
            <w:tcW w:w="1418" w:type="dxa"/>
          </w:tcPr>
          <w:p w:rsidR="00F14060" w:rsidRPr="005E423F">
            <w:pPr>
              <w:rPr>
                <w:rFonts w:ascii="Century Gothic" w:hAnsi="Century Gothic"/>
              </w:rPr>
            </w:pPr>
            <w:r w:rsidRPr="005E423F">
              <w:rPr>
                <w:rFonts w:ascii="Century Gothic" w:hAnsi="Century Gothic"/>
              </w:rPr>
              <w:t>26/10/2019</w:t>
            </w:r>
          </w:p>
        </w:tc>
        <w:tc>
          <w:tcPr>
            <w:tcW w:w="2268" w:type="dxa"/>
          </w:tcPr>
          <w:p w:rsidR="00F14060" w:rsidRPr="005E423F">
            <w:pPr>
              <w:rPr>
                <w:rFonts w:ascii="Century Gothic" w:hAnsi="Century Gothic"/>
              </w:rPr>
            </w:pPr>
            <w:r w:rsidRPr="005E423F">
              <w:rPr>
                <w:rFonts w:ascii="Century Gothic" w:hAnsi="Century Gothic"/>
              </w:rPr>
              <w:t>Charles Doherty</w:t>
            </w:r>
          </w:p>
        </w:tc>
        <w:tc>
          <w:tcPr>
            <w:tcW w:w="5665" w:type="dxa"/>
          </w:tcPr>
          <w:p w:rsidR="00F14060" w:rsidRPr="005E423F">
            <w:pPr>
              <w:rPr>
                <w:rFonts w:ascii="Century Gothic" w:hAnsi="Century Gothic"/>
              </w:rPr>
            </w:pPr>
            <w:r w:rsidRPr="005E423F">
              <w:rPr>
                <w:rFonts w:ascii="Century Gothic" w:hAnsi="Century Gothic"/>
              </w:rPr>
              <w:t>Updated to include feedback from the Director of Planning and Property and the Director of Neighbourhoods and Development</w:t>
            </w:r>
          </w:p>
        </w:tc>
      </w:tr>
      <w:tr>
        <w:tblPrEx>
          <w:tblW w:w="0" w:type="auto"/>
          <w:tblLook w:val="04A0"/>
        </w:tblPrEx>
        <w:tc>
          <w:tcPr>
            <w:tcW w:w="1129" w:type="dxa"/>
          </w:tcPr>
          <w:p w:rsidR="00F14060">
            <w:pPr>
              <w:rPr>
                <w:rFonts w:ascii="Century Gothic" w:hAnsi="Century Gothic"/>
              </w:rPr>
            </w:pPr>
            <w:r>
              <w:rPr>
                <w:rFonts w:ascii="Century Gothic" w:hAnsi="Century Gothic"/>
              </w:rPr>
              <w:t>3.0</w:t>
            </w:r>
          </w:p>
        </w:tc>
        <w:tc>
          <w:tcPr>
            <w:tcW w:w="1418" w:type="dxa"/>
          </w:tcPr>
          <w:p w:rsidR="00F14060">
            <w:pPr>
              <w:rPr>
                <w:rFonts w:ascii="Century Gothic" w:hAnsi="Century Gothic"/>
              </w:rPr>
            </w:pPr>
            <w:r>
              <w:rPr>
                <w:rFonts w:ascii="Century Gothic" w:hAnsi="Century Gothic"/>
              </w:rPr>
              <w:t>07/11/2019</w:t>
            </w:r>
          </w:p>
        </w:tc>
        <w:tc>
          <w:tcPr>
            <w:tcW w:w="2268" w:type="dxa"/>
          </w:tcPr>
          <w:p w:rsidR="00F14060">
            <w:pPr>
              <w:rPr>
                <w:rFonts w:ascii="Century Gothic" w:hAnsi="Century Gothic"/>
              </w:rPr>
            </w:pPr>
            <w:r>
              <w:rPr>
                <w:rFonts w:ascii="Century Gothic" w:hAnsi="Century Gothic"/>
              </w:rPr>
              <w:t>Charles Doherty</w:t>
            </w:r>
          </w:p>
        </w:tc>
        <w:tc>
          <w:tcPr>
            <w:tcW w:w="5665" w:type="dxa"/>
          </w:tcPr>
          <w:p w:rsidR="00F14060">
            <w:pPr>
              <w:rPr>
                <w:rFonts w:ascii="Century Gothic" w:hAnsi="Century Gothic"/>
              </w:rPr>
            </w:pPr>
            <w:r>
              <w:rPr>
                <w:rFonts w:ascii="Century Gothic" w:hAnsi="Century Gothic"/>
              </w:rPr>
              <w:t>Updated following creation of Cabinet Report</w:t>
            </w:r>
          </w:p>
        </w:tc>
      </w:tr>
    </w:tbl>
    <w:p w:rsidR="00F14060">
      <w:pPr>
        <w:rPr>
          <w:rFonts w:ascii="Century Gothic" w:hAnsi="Century Gothic"/>
        </w:rPr>
      </w:pPr>
    </w:p>
    <w:p w:rsidR="00F14060">
      <w:pPr>
        <w:rPr>
          <w:rFonts w:ascii="Century Gothic" w:hAnsi="Century Gothic"/>
        </w:rPr>
      </w:pPr>
    </w:p>
    <w:p w:rsidR="00F14060">
      <w:pPr>
        <w:rPr>
          <w:rFonts w:ascii="Century Gothic" w:hAnsi="Century Gothic"/>
        </w:rPr>
      </w:pPr>
    </w:p>
    <w:p w:rsidR="00F14060">
      <w:pPr>
        <w:rPr>
          <w:rFonts w:ascii="Century Gothic" w:hAnsi="Century Gothic"/>
        </w:rPr>
      </w:pPr>
    </w:p>
    <w:p w:rsidR="00F14060">
      <w:pPr>
        <w:rPr>
          <w:rFonts w:ascii="Century Gothic" w:hAnsi="Century Gothic"/>
        </w:rPr>
      </w:pPr>
    </w:p>
    <w:p w:rsidR="00F14060">
      <w:pPr>
        <w:rPr>
          <w:rFonts w:ascii="Century Gothic" w:hAnsi="Century Gothic"/>
        </w:rPr>
      </w:pPr>
    </w:p>
    <w:p w:rsidR="00F14060">
      <w:pPr>
        <w:rPr>
          <w:rFonts w:ascii="Century Gothic" w:hAnsi="Century Gothic"/>
        </w:rPr>
      </w:pPr>
    </w:p>
    <w:p w:rsidR="00F14060">
      <w:pPr>
        <w:rPr>
          <w:rFonts w:ascii="Century Gothic" w:hAnsi="Century Gothic"/>
        </w:rPr>
      </w:pPr>
    </w:p>
    <w:p w:rsidR="00F14060">
      <w:pPr>
        <w:rPr>
          <w:rFonts w:ascii="Century Gothic" w:hAnsi="Century Gothic"/>
        </w:rPr>
      </w:pPr>
    </w:p>
    <w:p w:rsidR="00F14060">
      <w:pPr>
        <w:rPr>
          <w:rFonts w:ascii="Century Gothic" w:hAnsi="Century Gothic"/>
        </w:rPr>
      </w:pPr>
    </w:p>
    <w:p w:rsidR="00F14060">
      <w:pPr>
        <w:rPr>
          <w:rFonts w:ascii="Century Gothic" w:hAnsi="Century Gothic"/>
        </w:rPr>
      </w:pPr>
    </w:p>
    <w:p w:rsidR="00F14060">
      <w:pPr>
        <w:rPr>
          <w:rFonts w:ascii="Century Gothic" w:hAnsi="Century Gothic"/>
        </w:rPr>
      </w:pPr>
    </w:p>
    <w:p w:rsidR="00F14060">
      <w:pPr>
        <w:rPr>
          <w:rFonts w:ascii="Century Gothic" w:hAnsi="Century Gothic"/>
        </w:rPr>
      </w:pPr>
    </w:p>
    <w:p w:rsidR="00F14060">
      <w:pPr>
        <w:rPr>
          <w:rFonts w:ascii="Century Gothic" w:hAnsi="Century Gothic"/>
        </w:rPr>
      </w:pPr>
    </w:p>
    <w:p w:rsidR="00F14060">
      <w:pPr>
        <w:rPr>
          <w:rFonts w:ascii="Century Gothic" w:hAnsi="Century Gothic"/>
        </w:rPr>
      </w:pPr>
    </w:p>
    <w:p w:rsidR="00F14060">
      <w:pPr>
        <w:rPr>
          <w:rFonts w:ascii="Century Gothic" w:hAnsi="Century Gothic"/>
        </w:rPr>
      </w:pPr>
    </w:p>
    <w:p w:rsidR="00F14060">
      <w:pPr>
        <w:rPr>
          <w:rFonts w:ascii="Century Gothic" w:hAnsi="Century Gothic"/>
        </w:rPr>
      </w:pPr>
    </w:p>
    <w:p w:rsidR="00F14060">
      <w:pPr>
        <w:rPr>
          <w:rFonts w:ascii="Century Gothic" w:hAnsi="Century Gothic"/>
        </w:rPr>
      </w:pPr>
    </w:p>
    <w:p w:rsidR="00F14060">
      <w:pPr>
        <w:rPr>
          <w:rFonts w:ascii="Century Gothic" w:hAnsi="Century Gothic"/>
        </w:rPr>
      </w:pPr>
    </w:p>
    <w:p w:rsidR="00F14060">
      <w:pPr>
        <w:rPr>
          <w:rFonts w:ascii="Century Gothic" w:hAnsi="Century Gothic"/>
        </w:rPr>
      </w:pPr>
    </w:p>
    <w:p w:rsidR="00F14060">
      <w:pPr>
        <w:rPr>
          <w:rFonts w:ascii="Century Gothic" w:hAnsi="Century Gothic"/>
        </w:rPr>
      </w:pPr>
    </w:p>
    <w:p w:rsidR="00F14060">
      <w:pPr>
        <w:rPr>
          <w:rFonts w:ascii="Century Gothic" w:hAnsi="Century Gothic"/>
        </w:rPr>
      </w:pPr>
    </w:p>
    <w:p w:rsidR="00F14060">
      <w:pPr>
        <w:keepNext/>
        <w:spacing w:before="240" w:after="60"/>
        <w:jc w:val="both"/>
        <w:outlineLvl w:val="1"/>
        <w:rPr>
          <w:rFonts w:ascii="Century Gothic" w:eastAsia="Times New Roman" w:hAnsi="Century Gothic" w:cs="Arial"/>
          <w:b/>
          <w:iCs/>
          <w:color w:val="auto"/>
          <w:sz w:val="24"/>
          <w:szCs w:val="24"/>
          <w:lang w:val="en-US"/>
        </w:rPr>
      </w:pPr>
      <w:r>
        <w:rPr>
          <w:rFonts w:ascii="Century Gothic" w:eastAsia="Times New Roman" w:hAnsi="Century Gothic" w:cs="Arial"/>
          <w:b/>
          <w:iCs/>
          <w:color w:val="auto"/>
          <w:sz w:val="32"/>
          <w:szCs w:val="24"/>
          <w:lang w:val="en-US"/>
        </w:rPr>
        <w:t>Background and context</w:t>
      </w:r>
    </w:p>
    <w:p w:rsidR="00F14060">
      <w:pPr>
        <w:jc w:val="both"/>
        <w:rPr>
          <w:rFonts w:ascii="Century Gothic" w:hAnsi="Century Gothic"/>
        </w:rPr>
      </w:pPr>
      <w:r>
        <w:rPr>
          <w:rFonts w:ascii="Century Gothic" w:hAnsi="Century Gothic"/>
        </w:rPr>
        <w:t>IDOX software applications are currently used by several departments to provide both back office functionality</w:t>
      </w:r>
      <w:r w:rsidR="00BC59ED">
        <w:rPr>
          <w:rFonts w:ascii="Century Gothic" w:hAnsi="Century Gothic"/>
        </w:rPr>
        <w:t>,</w:t>
      </w:r>
      <w:r>
        <w:rPr>
          <w:rFonts w:ascii="Century Gothic" w:hAnsi="Century Gothic"/>
        </w:rPr>
        <w:t xml:space="preserve"> and front facing client applications. As part of the councils Digital to Improve Programme it is proposed to init</w:t>
      </w:r>
      <w:r w:rsidR="00BD17D3">
        <w:rPr>
          <w:rFonts w:ascii="Century Gothic" w:hAnsi="Century Gothic"/>
        </w:rPr>
        <w:t>iate a project to review, and expand on the capabilities offered by IDOX</w:t>
      </w:r>
      <w:r w:rsidR="00BC59ED">
        <w:rPr>
          <w:rFonts w:ascii="Century Gothic" w:hAnsi="Century Gothic"/>
        </w:rPr>
        <w:t>,</w:t>
      </w:r>
      <w:r w:rsidR="00BD17D3">
        <w:rPr>
          <w:rFonts w:ascii="Century Gothic" w:hAnsi="Century Gothic"/>
        </w:rPr>
        <w:t xml:space="preserve"> and further consolidate other systems into the IDOX Uniform solution. This will provide benefits both in terms of back office efficiencies and benefits to residents.</w:t>
      </w:r>
    </w:p>
    <w:p w:rsidR="00BD17D3">
      <w:pPr>
        <w:jc w:val="both"/>
        <w:rPr>
          <w:rFonts w:ascii="Century Gothic" w:hAnsi="Century Gothic"/>
        </w:rPr>
      </w:pPr>
    </w:p>
    <w:p w:rsidR="005E423F">
      <w:pPr>
        <w:jc w:val="both"/>
        <w:rPr>
          <w:rFonts w:ascii="Century Gothic" w:hAnsi="Century Gothic"/>
        </w:rPr>
      </w:pPr>
      <w:r>
        <w:rPr>
          <w:rFonts w:ascii="Century Gothic" w:hAnsi="Century Gothic"/>
        </w:rPr>
        <w:t xml:space="preserve">Currently </w:t>
      </w:r>
      <w:r>
        <w:rPr>
          <w:rFonts w:ascii="Century Gothic" w:hAnsi="Century Gothic"/>
        </w:rPr>
        <w:t xml:space="preserve">the below </w:t>
      </w:r>
      <w:r>
        <w:rPr>
          <w:rFonts w:ascii="Century Gothic" w:hAnsi="Century Gothic"/>
        </w:rPr>
        <w:t xml:space="preserve">IDOX </w:t>
      </w:r>
      <w:r>
        <w:rPr>
          <w:rFonts w:ascii="Century Gothic" w:hAnsi="Century Gothic"/>
        </w:rPr>
        <w:t>solutions are used within the council:</w:t>
      </w:r>
    </w:p>
    <w:p w:rsidR="005E423F">
      <w:pPr>
        <w:jc w:val="both"/>
        <w:rPr>
          <w:rFonts w:ascii="Century Gothic" w:hAnsi="Century Gothic"/>
        </w:rPr>
      </w:pPr>
    </w:p>
    <w:p w:rsidR="005E423F" w:rsidRPr="00BC59ED">
      <w:pPr>
        <w:jc w:val="both"/>
        <w:rPr>
          <w:rFonts w:ascii="Century Gothic" w:hAnsi="Century Gothic"/>
          <w:b/>
          <w:sz w:val="28"/>
          <w:szCs w:val="28"/>
        </w:rPr>
      </w:pPr>
      <w:r w:rsidRPr="00BC59ED">
        <w:rPr>
          <w:rFonts w:ascii="Century Gothic" w:hAnsi="Century Gothic"/>
          <w:b/>
          <w:sz w:val="28"/>
          <w:szCs w:val="28"/>
        </w:rPr>
        <w:t>Uniform</w:t>
      </w:r>
    </w:p>
    <w:p w:rsidR="005E423F" w:rsidP="005E423F">
      <w:pPr>
        <w:numPr>
          <w:ilvl w:val="0"/>
          <w:numId w:val="23"/>
        </w:numPr>
        <w:spacing w:after="160" w:line="259" w:lineRule="auto"/>
        <w:contextualSpacing/>
        <w:rPr>
          <w:rFonts w:ascii="Century Gothic" w:eastAsia="Calibri" w:hAnsi="Century Gothic" w:cstheme="minorHAnsi"/>
          <w:color w:val="auto"/>
        </w:rPr>
      </w:pPr>
      <w:r>
        <w:rPr>
          <w:rFonts w:ascii="Century Gothic" w:eastAsia="Calibri" w:hAnsi="Century Gothic" w:cstheme="minorHAnsi"/>
          <w:color w:val="auto"/>
        </w:rPr>
        <w:t>Planning  – including TPOs, Appeals, Enforcement, Listed Buildings</w:t>
      </w:r>
    </w:p>
    <w:p w:rsidR="005E423F" w:rsidP="005E423F">
      <w:pPr>
        <w:numPr>
          <w:ilvl w:val="0"/>
          <w:numId w:val="23"/>
        </w:numPr>
        <w:spacing w:after="160" w:line="259" w:lineRule="auto"/>
        <w:contextualSpacing/>
        <w:rPr>
          <w:rFonts w:ascii="Century Gothic" w:eastAsia="Calibri" w:hAnsi="Century Gothic" w:cstheme="minorHAnsi"/>
          <w:color w:val="auto"/>
        </w:rPr>
      </w:pPr>
      <w:r>
        <w:rPr>
          <w:rFonts w:ascii="Century Gothic" w:eastAsia="Calibri" w:hAnsi="Century Gothic" w:cstheme="minorHAnsi"/>
          <w:color w:val="auto"/>
        </w:rPr>
        <w:t>Building Control  – including Dangerous Structures, Competent Person Scheme, Demolitions</w:t>
      </w:r>
    </w:p>
    <w:p w:rsidR="005E423F" w:rsidP="005E423F">
      <w:pPr>
        <w:numPr>
          <w:ilvl w:val="0"/>
          <w:numId w:val="23"/>
        </w:numPr>
        <w:spacing w:after="160" w:line="259" w:lineRule="auto"/>
        <w:contextualSpacing/>
        <w:rPr>
          <w:rFonts w:ascii="Century Gothic" w:eastAsia="Calibri" w:hAnsi="Century Gothic" w:cstheme="minorHAnsi"/>
          <w:color w:val="auto"/>
        </w:rPr>
      </w:pPr>
      <w:r>
        <w:rPr>
          <w:rFonts w:ascii="Century Gothic" w:eastAsia="Calibri" w:hAnsi="Century Gothic" w:cstheme="minorHAnsi"/>
          <w:color w:val="auto"/>
        </w:rPr>
        <w:t>Environmental Health – including Accident Reports, Commercial Premises, Service Requests, Housing</w:t>
      </w:r>
    </w:p>
    <w:p w:rsidR="005E423F" w:rsidP="005E423F">
      <w:pPr>
        <w:numPr>
          <w:ilvl w:val="0"/>
          <w:numId w:val="23"/>
        </w:numPr>
        <w:spacing w:after="160" w:line="259" w:lineRule="auto"/>
        <w:contextualSpacing/>
        <w:rPr>
          <w:rFonts w:ascii="Century Gothic" w:eastAsia="Calibri" w:hAnsi="Century Gothic" w:cstheme="minorHAnsi"/>
          <w:color w:val="auto"/>
        </w:rPr>
      </w:pPr>
      <w:r>
        <w:rPr>
          <w:rFonts w:ascii="Century Gothic" w:eastAsia="Calibri" w:hAnsi="Century Gothic" w:cstheme="minorHAnsi"/>
          <w:color w:val="auto"/>
        </w:rPr>
        <w:t>Estates – including Asset Register, Acquisition and Disposal, Valuations</w:t>
      </w:r>
    </w:p>
    <w:p w:rsidR="005E423F" w:rsidRPr="005E423F" w:rsidP="005E423F">
      <w:pPr>
        <w:numPr>
          <w:ilvl w:val="0"/>
          <w:numId w:val="23"/>
        </w:numPr>
        <w:spacing w:after="160" w:line="259" w:lineRule="auto"/>
        <w:contextualSpacing/>
        <w:rPr>
          <w:rFonts w:ascii="Century Gothic" w:eastAsia="Calibri" w:hAnsi="Century Gothic" w:cstheme="minorHAnsi"/>
          <w:color w:val="auto"/>
        </w:rPr>
      </w:pPr>
      <w:r>
        <w:rPr>
          <w:rFonts w:ascii="Century Gothic" w:eastAsia="Calibri" w:hAnsi="Century Gothic" w:cstheme="minorHAnsi"/>
          <w:color w:val="auto"/>
        </w:rPr>
        <w:t>Local Land and Property Gazetteer - which uploads to the NLPG National Land and Property Gazetteer.  Street naming and numbering</w:t>
      </w:r>
    </w:p>
    <w:p w:rsidR="005E423F" w:rsidRPr="005E423F">
      <w:pPr>
        <w:jc w:val="both"/>
        <w:rPr>
          <w:rFonts w:ascii="Century Gothic" w:hAnsi="Century Gothic"/>
          <w:szCs w:val="28"/>
        </w:rPr>
      </w:pPr>
    </w:p>
    <w:p w:rsidR="005E423F" w:rsidRPr="00BC59ED">
      <w:pPr>
        <w:jc w:val="both"/>
        <w:rPr>
          <w:rFonts w:ascii="Century Gothic" w:hAnsi="Century Gothic"/>
          <w:b/>
          <w:sz w:val="28"/>
          <w:szCs w:val="28"/>
        </w:rPr>
      </w:pPr>
      <w:r w:rsidRPr="00BC59ED">
        <w:rPr>
          <w:rFonts w:ascii="Century Gothic" w:hAnsi="Century Gothic"/>
          <w:b/>
          <w:sz w:val="28"/>
          <w:szCs w:val="28"/>
        </w:rPr>
        <w:t>LALPAC</w:t>
      </w:r>
    </w:p>
    <w:p w:rsidR="005E423F" w:rsidRPr="005E423F" w:rsidP="005E423F">
      <w:pPr>
        <w:pStyle w:val="ListParagraph"/>
        <w:numPr>
          <w:ilvl w:val="0"/>
          <w:numId w:val="34"/>
        </w:numPr>
        <w:rPr>
          <w:rFonts w:ascii="Century Gothic" w:hAnsi="Century Gothic"/>
          <w:szCs w:val="28"/>
        </w:rPr>
      </w:pPr>
      <w:r w:rsidRPr="005E423F">
        <w:rPr>
          <w:rFonts w:ascii="Century Gothic" w:hAnsi="Century Gothic"/>
          <w:szCs w:val="28"/>
        </w:rPr>
        <w:t>Licensing – Private Hire Vehicle Licences, Hackney Carriage Licences, Premises Licences</w:t>
      </w:r>
    </w:p>
    <w:p w:rsidR="005E423F" w:rsidRPr="00BC59ED">
      <w:pPr>
        <w:jc w:val="both"/>
        <w:rPr>
          <w:rFonts w:ascii="Century Gothic" w:hAnsi="Century Gothic"/>
          <w:b/>
          <w:sz w:val="28"/>
          <w:szCs w:val="28"/>
        </w:rPr>
      </w:pPr>
      <w:r w:rsidRPr="00BC59ED">
        <w:rPr>
          <w:rFonts w:ascii="Century Gothic" w:hAnsi="Century Gothic"/>
          <w:b/>
          <w:sz w:val="28"/>
          <w:szCs w:val="28"/>
        </w:rPr>
        <w:t>TLC</w:t>
      </w:r>
    </w:p>
    <w:p w:rsidR="005E423F" w:rsidP="005E423F">
      <w:pPr>
        <w:numPr>
          <w:ilvl w:val="0"/>
          <w:numId w:val="23"/>
        </w:numPr>
        <w:spacing w:after="160" w:line="259" w:lineRule="auto"/>
        <w:contextualSpacing/>
        <w:rPr>
          <w:rFonts w:ascii="Century Gothic" w:eastAsia="Calibri" w:hAnsi="Century Gothic" w:cstheme="minorHAnsi"/>
          <w:color w:val="auto"/>
        </w:rPr>
      </w:pPr>
      <w:r>
        <w:rPr>
          <w:rFonts w:ascii="Century Gothic" w:eastAsia="Calibri" w:hAnsi="Century Gothic" w:cstheme="minorHAnsi"/>
          <w:color w:val="auto"/>
        </w:rPr>
        <w:t>Land Charges, Constraints</w:t>
      </w:r>
    </w:p>
    <w:p w:rsidR="005E423F" w:rsidRPr="005E423F">
      <w:pPr>
        <w:jc w:val="both"/>
        <w:rPr>
          <w:rFonts w:ascii="Century Gothic" w:hAnsi="Century Gothic"/>
          <w:sz w:val="28"/>
          <w:szCs w:val="28"/>
        </w:rPr>
      </w:pPr>
    </w:p>
    <w:p w:rsidR="005E423F">
      <w:pPr>
        <w:jc w:val="both"/>
        <w:rPr>
          <w:rFonts w:ascii="Century Gothic" w:hAnsi="Century Gothic"/>
          <w:b/>
          <w:sz w:val="28"/>
          <w:szCs w:val="28"/>
        </w:rPr>
      </w:pPr>
      <w:r w:rsidRPr="00BC59ED">
        <w:rPr>
          <w:rFonts w:ascii="Century Gothic" w:hAnsi="Century Gothic"/>
          <w:b/>
          <w:sz w:val="28"/>
          <w:szCs w:val="28"/>
        </w:rPr>
        <w:t>IDOX Elections</w:t>
      </w:r>
    </w:p>
    <w:p w:rsidR="005E423F" w:rsidP="00BC59ED">
      <w:pPr>
        <w:pStyle w:val="ListParagraph"/>
        <w:numPr>
          <w:ilvl w:val="0"/>
          <w:numId w:val="34"/>
        </w:numPr>
        <w:jc w:val="both"/>
        <w:rPr>
          <w:rFonts w:ascii="Century Gothic" w:hAnsi="Century Gothic"/>
          <w:szCs w:val="28"/>
        </w:rPr>
      </w:pPr>
      <w:r>
        <w:rPr>
          <w:rFonts w:ascii="Century Gothic" w:hAnsi="Century Gothic"/>
          <w:szCs w:val="28"/>
        </w:rPr>
        <w:t>Elections, Canvassing, Electoral Register Management</w:t>
      </w:r>
    </w:p>
    <w:p w:rsidR="00BC59ED" w:rsidP="00BC59ED">
      <w:pPr>
        <w:ind w:left="720"/>
        <w:jc w:val="both"/>
        <w:rPr>
          <w:rFonts w:ascii="Century Gothic" w:hAnsi="Century Gothic"/>
          <w:szCs w:val="28"/>
        </w:rPr>
      </w:pPr>
    </w:p>
    <w:p w:rsidR="00BC59ED" w:rsidP="00BC59ED">
      <w:pPr>
        <w:jc w:val="both"/>
        <w:rPr>
          <w:rFonts w:ascii="Century Gothic" w:hAnsi="Century Gothic"/>
          <w:szCs w:val="28"/>
        </w:rPr>
      </w:pPr>
      <w:r>
        <w:rPr>
          <w:rFonts w:ascii="Century Gothic" w:hAnsi="Century Gothic"/>
          <w:szCs w:val="28"/>
        </w:rPr>
        <w:t>It is proposed to consolidate the LALPAC Licensing system into Uniform. This will allow the utilisation of mobile applications by licensing for inspections and field work. Public Acc</w:t>
      </w:r>
      <w:r w:rsidR="009B48D8">
        <w:rPr>
          <w:rFonts w:ascii="Century Gothic" w:hAnsi="Century Gothic"/>
          <w:szCs w:val="28"/>
        </w:rPr>
        <w:t xml:space="preserve">ess will also provide residents with a more uniform online portfolio for accessing services. </w:t>
      </w:r>
    </w:p>
    <w:p w:rsidR="009B48D8" w:rsidP="00BC59ED">
      <w:pPr>
        <w:jc w:val="both"/>
        <w:rPr>
          <w:rFonts w:ascii="Century Gothic" w:hAnsi="Century Gothic"/>
          <w:szCs w:val="28"/>
        </w:rPr>
      </w:pPr>
    </w:p>
    <w:p w:rsidR="009B48D8" w:rsidP="00BC59ED">
      <w:pPr>
        <w:jc w:val="both"/>
        <w:rPr>
          <w:rFonts w:ascii="Century Gothic" w:hAnsi="Century Gothic"/>
          <w:szCs w:val="28"/>
        </w:rPr>
      </w:pPr>
      <w:r>
        <w:rPr>
          <w:rFonts w:ascii="Century Gothic" w:hAnsi="Century Gothic"/>
          <w:szCs w:val="28"/>
        </w:rPr>
        <w:t xml:space="preserve">It is also proposed to upgrade the existing Uniform system to include </w:t>
      </w:r>
      <w:r w:rsidR="0009021E">
        <w:rPr>
          <w:rFonts w:ascii="Century Gothic" w:hAnsi="Century Gothic"/>
          <w:szCs w:val="28"/>
        </w:rPr>
        <w:t>additional modules and functionality as below:</w:t>
      </w:r>
    </w:p>
    <w:p w:rsidR="0009021E" w:rsidP="00BC59ED">
      <w:pPr>
        <w:jc w:val="both"/>
        <w:rPr>
          <w:rFonts w:ascii="Century Gothic" w:hAnsi="Century Gothic"/>
          <w:szCs w:val="28"/>
        </w:rPr>
      </w:pPr>
    </w:p>
    <w:p w:rsidR="0009021E" w:rsidP="0009021E">
      <w:pPr>
        <w:pStyle w:val="ListParagraph"/>
        <w:numPr>
          <w:ilvl w:val="0"/>
          <w:numId w:val="34"/>
        </w:numPr>
        <w:jc w:val="both"/>
        <w:rPr>
          <w:rFonts w:ascii="Century Gothic" w:hAnsi="Century Gothic"/>
          <w:szCs w:val="28"/>
        </w:rPr>
      </w:pPr>
      <w:r>
        <w:rPr>
          <w:rFonts w:ascii="Century Gothic" w:hAnsi="Century Gothic"/>
          <w:szCs w:val="28"/>
        </w:rPr>
        <w:t>IDOX Document Management System – To provide integrated document management and public access to documents</w:t>
      </w:r>
    </w:p>
    <w:p w:rsidR="0009021E" w:rsidP="0009021E">
      <w:pPr>
        <w:pStyle w:val="ListParagraph"/>
        <w:numPr>
          <w:ilvl w:val="0"/>
          <w:numId w:val="34"/>
        </w:numPr>
        <w:jc w:val="both"/>
        <w:rPr>
          <w:rFonts w:ascii="Century Gothic" w:hAnsi="Century Gothic"/>
          <w:szCs w:val="28"/>
        </w:rPr>
      </w:pPr>
      <w:r>
        <w:rPr>
          <w:rFonts w:ascii="Century Gothic" w:hAnsi="Century Gothic"/>
          <w:szCs w:val="28"/>
        </w:rPr>
        <w:t>IDOX Enterprise – To provide performance management, workflow and automation</w:t>
      </w:r>
    </w:p>
    <w:p w:rsidR="0009021E" w:rsidRPr="006A096F" w:rsidP="0009021E">
      <w:pPr>
        <w:pStyle w:val="ListParagraph"/>
        <w:numPr>
          <w:ilvl w:val="0"/>
          <w:numId w:val="34"/>
        </w:numPr>
        <w:jc w:val="both"/>
        <w:rPr>
          <w:rFonts w:ascii="Century Gothic" w:hAnsi="Century Gothic"/>
          <w:szCs w:val="28"/>
        </w:rPr>
      </w:pPr>
      <w:r>
        <w:rPr>
          <w:rFonts w:ascii="Century Gothic" w:hAnsi="Century Gothic"/>
          <w:szCs w:val="28"/>
        </w:rPr>
        <w:t>IDOX Data Management Tool – Providing Data Protection and GDPR compliance</w:t>
      </w:r>
    </w:p>
    <w:p w:rsidR="00BC59ED">
      <w:pPr>
        <w:spacing w:after="160" w:line="259" w:lineRule="auto"/>
        <w:ind w:left="720"/>
        <w:contextualSpacing/>
        <w:rPr>
          <w:rFonts w:ascii="Century Gothic" w:eastAsia="Calibri" w:hAnsi="Century Gothic" w:cstheme="minorHAnsi"/>
          <w:color w:val="auto"/>
        </w:rPr>
      </w:pPr>
    </w:p>
    <w:p w:rsidR="0009021E">
      <w:pPr>
        <w:keepNext/>
        <w:spacing w:before="240" w:after="60"/>
        <w:jc w:val="both"/>
        <w:outlineLvl w:val="1"/>
        <w:rPr>
          <w:rFonts w:ascii="Century Gothic" w:eastAsia="Calibri" w:hAnsi="Century Gothic" w:cstheme="minorHAnsi"/>
          <w:color w:val="auto"/>
        </w:rPr>
      </w:pPr>
      <w:r>
        <w:rPr>
          <w:rFonts w:ascii="Century Gothic" w:eastAsia="Calibri" w:hAnsi="Century Gothic" w:cstheme="minorHAnsi"/>
          <w:color w:val="auto"/>
        </w:rPr>
        <w:t xml:space="preserve">Due to the intensive project management requirements necessary to deliver this project, it is proposed that a new post is created to act as project manager and system supervisor duties once the project has been completed and benefits realised. In line with the Digital to Improve Programme the SRO responsibility will fall under the Director of Customer and Digital. </w:t>
      </w:r>
      <w:r w:rsidR="00247207">
        <w:rPr>
          <w:rFonts w:ascii="Century Gothic" w:eastAsia="Calibri" w:hAnsi="Century Gothic" w:cstheme="minorHAnsi"/>
          <w:color w:val="auto"/>
        </w:rPr>
        <w:t xml:space="preserve">The newly created role will be funded from the Neighbourhoods and Development or Planning and Property directorates and will consolidate the system supervisor responsibility from each service area using Uniform into this role. It should be noted that the </w:t>
      </w:r>
      <w:r w:rsidR="00247207">
        <w:rPr>
          <w:rFonts w:ascii="Century Gothic" w:eastAsia="Calibri" w:hAnsi="Century Gothic" w:cstheme="minorHAnsi"/>
          <w:color w:val="auto"/>
        </w:rPr>
        <w:t>Environmental Health System Supervisor role is currently vacant and will be replaced by the new role if approved.</w:t>
      </w:r>
    </w:p>
    <w:p w:rsidR="00C03851">
      <w:pPr>
        <w:keepNext/>
        <w:spacing w:before="240" w:after="60"/>
        <w:jc w:val="both"/>
        <w:outlineLvl w:val="1"/>
        <w:rPr>
          <w:rFonts w:ascii="Century Gothic" w:eastAsia="Calibri" w:hAnsi="Century Gothic" w:cstheme="minorHAnsi"/>
          <w:color w:val="auto"/>
        </w:rPr>
      </w:pPr>
      <w:r>
        <w:rPr>
          <w:rFonts w:ascii="Century Gothic" w:eastAsia="Calibri" w:hAnsi="Century Gothic" w:cstheme="minorHAnsi"/>
          <w:color w:val="auto"/>
        </w:rPr>
        <w:t>Whilst this project is included within the Digital to Improve Programme as its own entity. There are several other projects which will be beneficially impacted by the delivery of this project including:</w:t>
      </w:r>
    </w:p>
    <w:p w:rsidR="00C03851" w:rsidP="006A096F">
      <w:pPr>
        <w:pStyle w:val="ListParagraph"/>
        <w:keepNext/>
        <w:numPr>
          <w:ilvl w:val="0"/>
          <w:numId w:val="36"/>
        </w:numPr>
        <w:spacing w:before="240" w:after="60"/>
        <w:jc w:val="both"/>
        <w:outlineLvl w:val="1"/>
        <w:rPr>
          <w:rFonts w:ascii="Century Gothic" w:eastAsia="Calibri" w:hAnsi="Century Gothic" w:cstheme="minorHAnsi"/>
          <w:color w:val="auto"/>
        </w:rPr>
      </w:pPr>
      <w:r>
        <w:rPr>
          <w:rFonts w:ascii="Century Gothic" w:eastAsia="Calibri" w:hAnsi="Century Gothic" w:cstheme="minorHAnsi"/>
          <w:color w:val="auto"/>
        </w:rPr>
        <w:t>Agile working (Including culture and process improvement)</w:t>
      </w:r>
    </w:p>
    <w:p w:rsidR="00C03851" w:rsidP="006A096F">
      <w:pPr>
        <w:pStyle w:val="ListParagraph"/>
        <w:keepNext/>
        <w:numPr>
          <w:ilvl w:val="0"/>
          <w:numId w:val="36"/>
        </w:numPr>
        <w:spacing w:before="240" w:after="60"/>
        <w:jc w:val="both"/>
        <w:outlineLvl w:val="1"/>
        <w:rPr>
          <w:rFonts w:ascii="Century Gothic" w:eastAsia="Calibri" w:hAnsi="Century Gothic" w:cstheme="minorHAnsi"/>
          <w:color w:val="auto"/>
        </w:rPr>
      </w:pPr>
      <w:r>
        <w:rPr>
          <w:rFonts w:ascii="Century Gothic" w:eastAsia="Calibri" w:hAnsi="Century Gothic" w:cstheme="minorHAnsi"/>
          <w:color w:val="auto"/>
        </w:rPr>
        <w:t>Paperless Office</w:t>
      </w:r>
    </w:p>
    <w:p w:rsidR="00C03851" w:rsidP="006A096F">
      <w:pPr>
        <w:pStyle w:val="ListParagraph"/>
        <w:keepNext/>
        <w:numPr>
          <w:ilvl w:val="0"/>
          <w:numId w:val="36"/>
        </w:numPr>
        <w:spacing w:before="240" w:after="60"/>
        <w:jc w:val="both"/>
        <w:outlineLvl w:val="1"/>
        <w:rPr>
          <w:rFonts w:ascii="Century Gothic" w:eastAsia="Calibri" w:hAnsi="Century Gothic" w:cstheme="minorHAnsi"/>
          <w:color w:val="auto"/>
        </w:rPr>
      </w:pPr>
      <w:r>
        <w:rPr>
          <w:rFonts w:ascii="Century Gothic" w:eastAsia="Calibri" w:hAnsi="Century Gothic" w:cstheme="minorHAnsi"/>
          <w:color w:val="auto"/>
        </w:rPr>
        <w:t xml:space="preserve">Security and Compliance </w:t>
      </w:r>
    </w:p>
    <w:p w:rsidR="00C03851" w:rsidP="006A096F">
      <w:pPr>
        <w:pStyle w:val="ListParagraph"/>
        <w:keepNext/>
        <w:numPr>
          <w:ilvl w:val="0"/>
          <w:numId w:val="36"/>
        </w:numPr>
        <w:spacing w:before="240" w:after="60"/>
        <w:jc w:val="both"/>
        <w:outlineLvl w:val="1"/>
        <w:rPr>
          <w:rFonts w:ascii="Century Gothic" w:eastAsia="Calibri" w:hAnsi="Century Gothic" w:cstheme="minorHAnsi"/>
          <w:color w:val="auto"/>
        </w:rPr>
      </w:pPr>
      <w:r>
        <w:rPr>
          <w:rFonts w:ascii="Century Gothic" w:eastAsia="Calibri" w:hAnsi="Century Gothic" w:cstheme="minorHAnsi"/>
          <w:color w:val="auto"/>
        </w:rPr>
        <w:t>System consolidation</w:t>
      </w:r>
    </w:p>
    <w:p w:rsidR="00C03851" w:rsidP="006A096F">
      <w:pPr>
        <w:pStyle w:val="ListParagraph"/>
        <w:keepNext/>
        <w:numPr>
          <w:ilvl w:val="0"/>
          <w:numId w:val="36"/>
        </w:numPr>
        <w:spacing w:before="240" w:after="60"/>
        <w:jc w:val="both"/>
        <w:outlineLvl w:val="1"/>
        <w:rPr>
          <w:rFonts w:ascii="Century Gothic" w:eastAsia="Calibri" w:hAnsi="Century Gothic" w:cstheme="minorHAnsi"/>
          <w:color w:val="auto"/>
        </w:rPr>
      </w:pPr>
      <w:r>
        <w:rPr>
          <w:rFonts w:ascii="Century Gothic" w:eastAsia="Calibri" w:hAnsi="Century Gothic" w:cstheme="minorHAnsi"/>
          <w:color w:val="auto"/>
        </w:rPr>
        <w:t>Integration and Automation</w:t>
      </w:r>
    </w:p>
    <w:p w:rsidR="00C03851" w:rsidRPr="006A096F" w:rsidP="006A096F">
      <w:pPr>
        <w:pStyle w:val="ListParagraph"/>
        <w:keepNext/>
        <w:numPr>
          <w:ilvl w:val="0"/>
          <w:numId w:val="36"/>
        </w:numPr>
        <w:spacing w:before="240" w:after="60"/>
        <w:jc w:val="both"/>
        <w:outlineLvl w:val="1"/>
        <w:rPr>
          <w:rFonts w:ascii="Century Gothic" w:eastAsia="Calibri" w:hAnsi="Century Gothic" w:cstheme="minorHAnsi"/>
          <w:color w:val="auto"/>
        </w:rPr>
      </w:pPr>
      <w:r>
        <w:rPr>
          <w:rFonts w:ascii="Century Gothic" w:eastAsia="Calibri" w:hAnsi="Century Gothic" w:cstheme="minorHAnsi"/>
          <w:color w:val="auto"/>
        </w:rPr>
        <w:t>Document Management</w:t>
      </w:r>
    </w:p>
    <w:p w:rsidR="00C03851" w:rsidRPr="006A096F" w:rsidP="00C03851">
      <w:pPr>
        <w:keepNext/>
        <w:spacing w:before="240" w:after="60"/>
        <w:jc w:val="both"/>
        <w:outlineLvl w:val="1"/>
        <w:rPr>
          <w:rFonts w:ascii="Century Gothic" w:eastAsia="Calibri" w:hAnsi="Century Gothic" w:cstheme="minorHAnsi"/>
          <w:color w:val="auto"/>
        </w:rPr>
      </w:pPr>
      <w:r>
        <w:rPr>
          <w:rFonts w:ascii="Century Gothic" w:eastAsia="Calibri" w:hAnsi="Century Gothic" w:cstheme="minorHAnsi"/>
          <w:color w:val="auto"/>
        </w:rPr>
        <w:t>The services using the new functionality will also benefit from improved process management and KPI monitoring, removal of manual processes reducing risk of error, increased mobile working and data provision for statutory service work.</w:t>
      </w:r>
    </w:p>
    <w:p w:rsidR="00F14060">
      <w:pPr>
        <w:keepNext/>
        <w:spacing w:before="240" w:after="60"/>
        <w:jc w:val="both"/>
        <w:outlineLvl w:val="1"/>
        <w:rPr>
          <w:rFonts w:ascii="Century Gothic" w:eastAsia="Times New Roman" w:hAnsi="Century Gothic" w:cs="Arial"/>
          <w:b/>
          <w:bCs/>
          <w:iCs/>
          <w:color w:val="auto"/>
          <w:sz w:val="32"/>
          <w:szCs w:val="20"/>
        </w:rPr>
      </w:pPr>
      <w:r>
        <w:rPr>
          <w:rFonts w:ascii="Century Gothic" w:eastAsia="Times New Roman" w:hAnsi="Century Gothic" w:cs="Arial"/>
          <w:b/>
          <w:bCs/>
          <w:iCs/>
          <w:color w:val="auto"/>
          <w:sz w:val="32"/>
          <w:szCs w:val="20"/>
        </w:rPr>
        <w:t>Project Scope</w:t>
      </w:r>
    </w:p>
    <w:p w:rsidR="000420D5" w:rsidRPr="0025166A" w:rsidP="000420D5">
      <w:pPr>
        <w:jc w:val="both"/>
        <w:rPr>
          <w:rFonts w:ascii="Century Gothic" w:hAnsi="Century Gothic" w:cs="Arial"/>
          <w:color w:val="auto"/>
        </w:rPr>
      </w:pPr>
      <w:r w:rsidRPr="0025166A">
        <w:rPr>
          <w:rFonts w:ascii="Century Gothic" w:hAnsi="Century Gothic" w:cs="Arial"/>
          <w:color w:val="auto"/>
        </w:rPr>
        <w:t xml:space="preserve">As detailed within the Digital to Improve Programme this project will essentially undertake an IDOX capability review and rationalise systems where appropriate, as well as introducing additional modules and functionality. The IDOX Document Management System will modernise the document management process and deliver workplace efficiencies whilst offering benefits to the customer. Aligning core systems such as the intention to migrate </w:t>
      </w:r>
      <w:r w:rsidRPr="0025166A">
        <w:rPr>
          <w:rFonts w:ascii="Century Gothic" w:hAnsi="Century Gothic" w:cs="Arial"/>
          <w:color w:val="auto"/>
        </w:rPr>
        <w:t>Lalpac</w:t>
      </w:r>
      <w:r w:rsidRPr="0025166A">
        <w:rPr>
          <w:rFonts w:ascii="Century Gothic" w:hAnsi="Century Gothic" w:cs="Arial"/>
          <w:color w:val="auto"/>
        </w:rPr>
        <w:t xml:space="preserve"> into IDOX will provide benefits to officers and reduce the training need by removing additional systems.</w:t>
      </w:r>
    </w:p>
    <w:p w:rsidR="000420D5" w:rsidRPr="0025166A" w:rsidP="000420D5">
      <w:pPr>
        <w:jc w:val="both"/>
        <w:rPr>
          <w:rFonts w:ascii="Century Gothic" w:hAnsi="Century Gothic" w:cs="Arial"/>
          <w:color w:val="auto"/>
        </w:rPr>
      </w:pPr>
    </w:p>
    <w:p w:rsidR="000420D5" w:rsidRPr="0025166A" w:rsidP="000420D5">
      <w:pPr>
        <w:jc w:val="both"/>
        <w:rPr>
          <w:rFonts w:ascii="Century Gothic" w:hAnsi="Century Gothic" w:cs="Arial"/>
          <w:color w:val="auto"/>
        </w:rPr>
      </w:pPr>
      <w:r w:rsidRPr="0025166A">
        <w:rPr>
          <w:rFonts w:ascii="Century Gothic" w:hAnsi="Century Gothic" w:cs="Arial"/>
          <w:color w:val="auto"/>
        </w:rPr>
        <w:t>Regulatory services such as Planning, Environmental Health and Licensing will benefit from strict process controls and measures, to allow cases to be processed and tracked in line with agreed service level agreements, and allow KPI’s and measures to be tracked and reported more accurately.</w:t>
      </w:r>
    </w:p>
    <w:p w:rsidR="000420D5" w:rsidRPr="0025166A" w:rsidP="000420D5">
      <w:pPr>
        <w:jc w:val="both"/>
        <w:rPr>
          <w:rFonts w:ascii="Century Gothic" w:hAnsi="Century Gothic" w:cs="Arial"/>
          <w:color w:val="auto"/>
        </w:rPr>
      </w:pPr>
    </w:p>
    <w:p w:rsidR="000420D5" w:rsidRPr="0025166A" w:rsidP="000420D5">
      <w:pPr>
        <w:jc w:val="both"/>
        <w:rPr>
          <w:rFonts w:ascii="Century Gothic" w:hAnsi="Century Gothic" w:cs="Arial"/>
          <w:color w:val="auto"/>
        </w:rPr>
      </w:pPr>
      <w:r w:rsidRPr="0025166A">
        <w:rPr>
          <w:rFonts w:ascii="Century Gothic" w:hAnsi="Century Gothic" w:cs="Arial"/>
          <w:color w:val="auto"/>
        </w:rPr>
        <w:t xml:space="preserve">It is proposed to consolidate the LALPAC Licensing system into Uniform, which will allow the utilisation of mobile applications by licensing for inspections and field work. Public Access for Licensing will also provide residents with a more uniform online portfolio for accessing services. </w:t>
      </w:r>
    </w:p>
    <w:p w:rsidR="000420D5" w:rsidRPr="0025166A" w:rsidP="000420D5">
      <w:pPr>
        <w:jc w:val="both"/>
        <w:rPr>
          <w:rFonts w:ascii="Century Gothic" w:hAnsi="Century Gothic" w:cs="Arial"/>
          <w:color w:val="auto"/>
        </w:rPr>
      </w:pPr>
    </w:p>
    <w:p w:rsidR="000420D5" w:rsidRPr="0025166A" w:rsidP="000420D5">
      <w:pPr>
        <w:jc w:val="both"/>
        <w:rPr>
          <w:rFonts w:ascii="Century Gothic" w:hAnsi="Century Gothic" w:cs="Arial"/>
          <w:color w:val="auto"/>
        </w:rPr>
      </w:pPr>
      <w:r w:rsidRPr="0025166A">
        <w:rPr>
          <w:rFonts w:ascii="Century Gothic" w:hAnsi="Century Gothic" w:cs="Arial"/>
          <w:color w:val="auto"/>
        </w:rPr>
        <w:t>It is also proposed to upgrade the existing Uniform system to include additional modules and functionality as below:</w:t>
      </w:r>
    </w:p>
    <w:p w:rsidR="000420D5" w:rsidRPr="0025166A" w:rsidP="000420D5">
      <w:pPr>
        <w:jc w:val="both"/>
        <w:rPr>
          <w:rFonts w:ascii="Century Gothic" w:hAnsi="Century Gothic" w:cs="Arial"/>
          <w:color w:val="auto"/>
        </w:rPr>
      </w:pPr>
    </w:p>
    <w:p w:rsidR="000420D5" w:rsidRPr="0025166A" w:rsidP="000420D5">
      <w:pPr>
        <w:pStyle w:val="ListParagraph"/>
        <w:numPr>
          <w:ilvl w:val="1"/>
          <w:numId w:val="38"/>
        </w:numPr>
        <w:jc w:val="both"/>
        <w:rPr>
          <w:rFonts w:ascii="Century Gothic" w:hAnsi="Century Gothic" w:cs="Arial"/>
          <w:color w:val="auto"/>
        </w:rPr>
      </w:pPr>
      <w:r w:rsidRPr="0025166A">
        <w:rPr>
          <w:rFonts w:ascii="Century Gothic" w:hAnsi="Century Gothic" w:cs="Arial"/>
          <w:color w:val="auto"/>
        </w:rPr>
        <w:t>IDOX Document Management System – To provide integrated document management and public access to documents</w:t>
      </w:r>
    </w:p>
    <w:p w:rsidR="000420D5" w:rsidRPr="0025166A" w:rsidP="000420D5">
      <w:pPr>
        <w:pStyle w:val="ListParagraph"/>
        <w:numPr>
          <w:ilvl w:val="1"/>
          <w:numId w:val="38"/>
        </w:numPr>
        <w:jc w:val="both"/>
        <w:rPr>
          <w:rFonts w:ascii="Century Gothic" w:hAnsi="Century Gothic" w:cs="Arial"/>
          <w:color w:val="auto"/>
        </w:rPr>
      </w:pPr>
      <w:r w:rsidRPr="0025166A">
        <w:rPr>
          <w:rFonts w:ascii="Century Gothic" w:hAnsi="Century Gothic" w:cs="Arial"/>
          <w:color w:val="auto"/>
        </w:rPr>
        <w:t>IDOX Enterprise – To provide performance management, workflow and automation</w:t>
      </w:r>
    </w:p>
    <w:p w:rsidR="000420D5" w:rsidRPr="0025166A" w:rsidP="000420D5">
      <w:pPr>
        <w:pStyle w:val="ListParagraph"/>
        <w:numPr>
          <w:ilvl w:val="1"/>
          <w:numId w:val="38"/>
        </w:numPr>
        <w:jc w:val="both"/>
        <w:rPr>
          <w:rFonts w:ascii="Century Gothic" w:hAnsi="Century Gothic" w:cs="Arial"/>
          <w:color w:val="auto"/>
        </w:rPr>
      </w:pPr>
      <w:r w:rsidRPr="0025166A">
        <w:rPr>
          <w:rFonts w:ascii="Century Gothic" w:hAnsi="Century Gothic" w:cs="Arial"/>
          <w:color w:val="auto"/>
        </w:rPr>
        <w:t>IDOX Data Management Tool – Providing Data Protection and GDPR compliance</w:t>
      </w:r>
    </w:p>
    <w:p w:rsidR="000420D5" w:rsidRPr="0025166A" w:rsidP="000420D5">
      <w:pPr>
        <w:spacing w:after="160" w:line="259" w:lineRule="auto"/>
        <w:ind w:left="720"/>
        <w:contextualSpacing/>
        <w:rPr>
          <w:rFonts w:ascii="Century Gothic" w:eastAsia="Calibri" w:hAnsi="Century Gothic" w:cs="Arial"/>
          <w:color w:val="auto"/>
        </w:rPr>
      </w:pPr>
    </w:p>
    <w:p w:rsidR="000420D5" w:rsidRPr="0025166A" w:rsidP="000420D5">
      <w:pPr>
        <w:keepNext/>
        <w:spacing w:before="240"/>
        <w:jc w:val="both"/>
        <w:outlineLvl w:val="1"/>
        <w:rPr>
          <w:rFonts w:ascii="Century Gothic" w:eastAsia="Calibri" w:hAnsi="Century Gothic" w:cs="Arial"/>
          <w:color w:val="auto"/>
        </w:rPr>
      </w:pPr>
      <w:r w:rsidRPr="0025166A">
        <w:rPr>
          <w:rFonts w:ascii="Century Gothic" w:eastAsia="Calibri" w:hAnsi="Century Gothic" w:cs="Arial"/>
          <w:color w:val="auto"/>
        </w:rPr>
        <w:t>The services using the new functionality will also benefit from improved process management and KPI monitoring, removal of manual processes reducing risk of error, increased mobile working and data provision for statutory service work.</w:t>
      </w:r>
    </w:p>
    <w:p w:rsidR="000420D5" w:rsidRPr="0025166A" w:rsidP="000420D5">
      <w:pPr>
        <w:jc w:val="both"/>
        <w:rPr>
          <w:rFonts w:ascii="Century Gothic" w:hAnsi="Century Gothic" w:cs="Arial"/>
          <w:color w:val="auto"/>
        </w:rPr>
      </w:pPr>
    </w:p>
    <w:p w:rsidR="000420D5" w:rsidRPr="0025166A" w:rsidP="000420D5">
      <w:pPr>
        <w:jc w:val="both"/>
        <w:rPr>
          <w:rFonts w:ascii="Century Gothic" w:hAnsi="Century Gothic" w:cs="Arial"/>
          <w:b/>
          <w:color w:val="auto"/>
        </w:rPr>
      </w:pPr>
      <w:r w:rsidRPr="0025166A">
        <w:rPr>
          <w:rFonts w:ascii="Century Gothic" w:hAnsi="Century Gothic" w:cs="Arial"/>
          <w:b/>
          <w:color w:val="auto"/>
        </w:rPr>
        <w:t>Within Scope</w:t>
      </w:r>
    </w:p>
    <w:p w:rsidR="000420D5" w:rsidRPr="0025166A" w:rsidP="000420D5">
      <w:pPr>
        <w:jc w:val="both"/>
        <w:rPr>
          <w:rFonts w:ascii="Century Gothic" w:hAnsi="Century Gothic" w:cs="Arial"/>
          <w:color w:val="auto"/>
        </w:rPr>
      </w:pPr>
      <w:r w:rsidRPr="0025166A">
        <w:rPr>
          <w:rFonts w:ascii="Century Gothic" w:hAnsi="Century Gothic" w:cs="Arial"/>
          <w:color w:val="auto"/>
        </w:rPr>
        <w:t>As part of the scope of this project each process which utilises the existing or proposed system will undertake a process mapping exercise to assist in post project benefits realisation as well as assisting in recognising areas to drive efficiencies.</w:t>
      </w:r>
    </w:p>
    <w:p w:rsidR="000420D5" w:rsidRPr="0025166A" w:rsidP="000420D5">
      <w:pPr>
        <w:jc w:val="both"/>
        <w:rPr>
          <w:rFonts w:ascii="Century Gothic" w:hAnsi="Century Gothic" w:cs="Arial"/>
          <w:color w:val="auto"/>
        </w:rPr>
      </w:pPr>
    </w:p>
    <w:p w:rsidR="000420D5" w:rsidRPr="0025166A" w:rsidP="000420D5">
      <w:pPr>
        <w:jc w:val="both"/>
        <w:rPr>
          <w:rFonts w:ascii="Century Gothic" w:hAnsi="Century Gothic" w:cs="Arial"/>
          <w:color w:val="auto"/>
        </w:rPr>
      </w:pPr>
      <w:r w:rsidRPr="0025166A">
        <w:rPr>
          <w:rFonts w:ascii="Century Gothic" w:hAnsi="Century Gothic" w:cs="Arial"/>
          <w:color w:val="auto"/>
        </w:rPr>
        <w:t>Several new modules will be introduced including IDOX Enterprise, providing back office workflow, IDOX EDRMS providing document management and seamless integration with both back office and front facing client applications as well as the introduction of the IDOX Data Management Tool which will assist in the compliance with GDPR and Data Protection legislation.</w:t>
      </w:r>
    </w:p>
    <w:p w:rsidR="000420D5" w:rsidRPr="0025166A" w:rsidP="000420D5">
      <w:pPr>
        <w:jc w:val="both"/>
        <w:rPr>
          <w:rFonts w:ascii="Century Gothic" w:hAnsi="Century Gothic" w:cs="Arial"/>
          <w:color w:val="auto"/>
        </w:rPr>
      </w:pPr>
    </w:p>
    <w:p w:rsidR="000420D5" w:rsidRPr="0025166A" w:rsidP="000420D5">
      <w:pPr>
        <w:jc w:val="both"/>
        <w:rPr>
          <w:rFonts w:ascii="Century Gothic" w:hAnsi="Century Gothic" w:cs="Arial"/>
          <w:color w:val="auto"/>
        </w:rPr>
      </w:pPr>
      <w:r w:rsidRPr="0025166A">
        <w:rPr>
          <w:rFonts w:ascii="Century Gothic" w:hAnsi="Century Gothic" w:cs="Arial"/>
          <w:color w:val="auto"/>
        </w:rPr>
        <w:t>The project will also look to consolidate a number of systems in order to simplify the ICT environment and ease future automations and integrations.</w:t>
      </w:r>
    </w:p>
    <w:p w:rsidR="000420D5" w:rsidRPr="0025166A" w:rsidP="000420D5">
      <w:pPr>
        <w:pStyle w:val="ListParagraph"/>
        <w:ind w:left="0"/>
        <w:jc w:val="both"/>
        <w:rPr>
          <w:rFonts w:ascii="Century Gothic" w:eastAsia="Times New Roman" w:hAnsi="Century Gothic" w:cs="Arial"/>
          <w:color w:val="auto"/>
        </w:rPr>
      </w:pPr>
    </w:p>
    <w:p w:rsidR="000420D5" w:rsidRPr="0025166A" w:rsidP="000420D5">
      <w:pPr>
        <w:spacing w:after="160" w:line="259" w:lineRule="auto"/>
        <w:jc w:val="both"/>
        <w:rPr>
          <w:rFonts w:ascii="Century Gothic" w:eastAsia="Times New Roman" w:hAnsi="Century Gothic" w:cs="Arial"/>
          <w:color w:val="auto"/>
        </w:rPr>
      </w:pPr>
      <w:r w:rsidRPr="0025166A">
        <w:rPr>
          <w:rFonts w:ascii="Century Gothic" w:eastAsia="Times New Roman" w:hAnsi="Century Gothic" w:cs="Arial"/>
          <w:color w:val="auto"/>
        </w:rPr>
        <w:t>The below provides further detail of each of the key milestones within scope:</w:t>
      </w:r>
    </w:p>
    <w:p w:rsidR="000420D5" w:rsidRPr="0025166A" w:rsidP="000420D5">
      <w:pPr>
        <w:pStyle w:val="ListParagraph"/>
        <w:ind w:left="0"/>
        <w:jc w:val="both"/>
        <w:rPr>
          <w:rFonts w:ascii="Century Gothic" w:eastAsia="Times New Roman" w:hAnsi="Century Gothic" w:cs="Arial"/>
          <w:color w:val="auto"/>
        </w:rPr>
      </w:pPr>
    </w:p>
    <w:p w:rsidR="000420D5" w:rsidRPr="0025166A" w:rsidP="000420D5">
      <w:pPr>
        <w:autoSpaceDE w:val="0"/>
        <w:autoSpaceDN w:val="0"/>
        <w:adjustRightInd w:val="0"/>
        <w:rPr>
          <w:rFonts w:ascii="Century Gothic" w:hAnsi="Century Gothic" w:cs="Arial"/>
          <w:b/>
          <w:color w:val="auto"/>
        </w:rPr>
      </w:pPr>
      <w:r w:rsidRPr="0025166A">
        <w:rPr>
          <w:rFonts w:ascii="Century Gothic" w:hAnsi="Century Gothic" w:cs="Arial"/>
          <w:b/>
          <w:color w:val="auto"/>
        </w:rPr>
        <w:t>Undertake IDOX Health Check</w:t>
      </w:r>
    </w:p>
    <w:p w:rsidR="000420D5" w:rsidRPr="0025166A" w:rsidP="000420D5">
      <w:pPr>
        <w:autoSpaceDE w:val="0"/>
        <w:autoSpaceDN w:val="0"/>
        <w:adjustRightInd w:val="0"/>
        <w:rPr>
          <w:rFonts w:ascii="Century Gothic" w:hAnsi="Century Gothic" w:cs="Arial"/>
          <w:color w:val="auto"/>
        </w:rPr>
      </w:pPr>
      <w:r w:rsidRPr="0025166A">
        <w:rPr>
          <w:rFonts w:ascii="Century Gothic" w:hAnsi="Century Gothic" w:cs="Arial"/>
          <w:color w:val="auto"/>
        </w:rPr>
        <w:t xml:space="preserve">The IDOX Health Check would utilise </w:t>
      </w:r>
      <w:r w:rsidR="00C0386D">
        <w:rPr>
          <w:rFonts w:ascii="Century Gothic" w:hAnsi="Century Gothic" w:cs="Arial"/>
          <w:color w:val="auto"/>
        </w:rPr>
        <w:t>technical support</w:t>
      </w:r>
      <w:r w:rsidRPr="0025166A">
        <w:rPr>
          <w:rFonts w:ascii="Century Gothic" w:hAnsi="Century Gothic" w:cs="Arial"/>
          <w:color w:val="auto"/>
        </w:rPr>
        <w:t xml:space="preserve"> by IDOX to review our current use of the system to compare both process and system functionality against best practice. The Health Check would also include consultation with key users and provide a written report detailing findings, recommendations for improvement and implementation suggestions. Each core module would require 2 </w:t>
      </w:r>
      <w:r w:rsidR="00C0386D">
        <w:rPr>
          <w:rFonts w:ascii="Century Gothic" w:hAnsi="Century Gothic" w:cs="Arial"/>
          <w:color w:val="auto"/>
        </w:rPr>
        <w:t>technical support</w:t>
      </w:r>
      <w:r w:rsidRPr="0025166A">
        <w:rPr>
          <w:rFonts w:ascii="Century Gothic" w:hAnsi="Century Gothic" w:cs="Arial"/>
          <w:color w:val="auto"/>
        </w:rPr>
        <w:t xml:space="preserve"> days at £950 per day plus an additional 1.5 days project management. In Total £9,025 would be required to review all core modules. The Health Check will also be used as an enabler to baseline any pre-requisites required to implement the other stages of the project.</w:t>
      </w:r>
    </w:p>
    <w:p w:rsidR="000420D5" w:rsidRPr="0025166A" w:rsidP="000420D5">
      <w:pPr>
        <w:autoSpaceDE w:val="0"/>
        <w:autoSpaceDN w:val="0"/>
        <w:adjustRightInd w:val="0"/>
        <w:rPr>
          <w:rFonts w:ascii="Century Gothic" w:hAnsi="Century Gothic" w:cs="Arial"/>
          <w:color w:val="auto"/>
        </w:rPr>
      </w:pPr>
    </w:p>
    <w:p w:rsidR="000420D5" w:rsidRPr="0025166A" w:rsidP="000420D5">
      <w:pPr>
        <w:autoSpaceDE w:val="0"/>
        <w:autoSpaceDN w:val="0"/>
        <w:adjustRightInd w:val="0"/>
        <w:rPr>
          <w:rFonts w:ascii="Century Gothic" w:hAnsi="Century Gothic" w:cs="Arial"/>
          <w:color w:val="auto"/>
        </w:rPr>
      </w:pPr>
      <w:r w:rsidRPr="0025166A">
        <w:rPr>
          <w:rFonts w:ascii="Century Gothic" w:hAnsi="Century Gothic" w:cs="Arial"/>
          <w:color w:val="auto"/>
        </w:rPr>
        <w:t>The benefit of completing this health check prior to commencing the roll out of Enterprise is critical in assessing the current position, ensuring that the Foundations (i.e. all modules) are suitable before introducing IDOX Enterprise.  Any priority remediation work should be performed relevant to the distinct modules prior to the introduction of IDOX Enterprise.   Implementing new systems is an opportunity for transformation, and as a result ensuring that legacy hang-ups do not impair functionality is critical.</w:t>
      </w:r>
    </w:p>
    <w:p w:rsidR="000420D5" w:rsidRPr="0025166A" w:rsidP="000420D5">
      <w:pPr>
        <w:autoSpaceDE w:val="0"/>
        <w:autoSpaceDN w:val="0"/>
        <w:adjustRightInd w:val="0"/>
        <w:rPr>
          <w:rFonts w:ascii="Century Gothic" w:hAnsi="Century Gothic" w:cs="Arial"/>
          <w:b/>
          <w:color w:val="auto"/>
        </w:rPr>
      </w:pPr>
    </w:p>
    <w:p w:rsidR="000420D5" w:rsidRPr="0025166A" w:rsidP="000420D5">
      <w:pPr>
        <w:rPr>
          <w:rFonts w:ascii="Century Gothic" w:hAnsi="Century Gothic" w:cs="Arial"/>
          <w:b/>
          <w:color w:val="auto"/>
        </w:rPr>
      </w:pPr>
      <w:r w:rsidRPr="0025166A">
        <w:rPr>
          <w:rFonts w:ascii="Century Gothic" w:hAnsi="Century Gothic" w:cs="Arial"/>
          <w:b/>
          <w:color w:val="auto"/>
        </w:rPr>
        <w:t>Introduce IDOX Enterprise</w:t>
      </w:r>
    </w:p>
    <w:p w:rsidR="000420D5" w:rsidRPr="0025166A" w:rsidP="000420D5">
      <w:pPr>
        <w:autoSpaceDE w:val="0"/>
        <w:autoSpaceDN w:val="0"/>
        <w:adjustRightInd w:val="0"/>
        <w:rPr>
          <w:rFonts w:ascii="Century Gothic" w:hAnsi="Century Gothic" w:cs="Arial"/>
          <w:color w:val="auto"/>
        </w:rPr>
      </w:pPr>
      <w:r w:rsidRPr="0025166A">
        <w:rPr>
          <w:rFonts w:ascii="Century Gothic" w:hAnsi="Century Gothic" w:cs="Arial"/>
          <w:color w:val="auto"/>
        </w:rPr>
        <w:t>The introduction of IDOX Enterprise will have associated costs of £26,725 as an initial investment, followed by annual maintenance of £2,800 per annum. Initial investment costs will include software licences, associated services and training.</w:t>
      </w:r>
    </w:p>
    <w:p w:rsidR="000420D5" w:rsidRPr="0025166A" w:rsidP="000420D5">
      <w:pPr>
        <w:autoSpaceDE w:val="0"/>
        <w:autoSpaceDN w:val="0"/>
        <w:adjustRightInd w:val="0"/>
        <w:rPr>
          <w:rFonts w:ascii="Century Gothic" w:hAnsi="Century Gothic" w:cs="Arial"/>
          <w:color w:val="auto"/>
        </w:rPr>
      </w:pPr>
    </w:p>
    <w:p w:rsidR="000420D5" w:rsidRPr="0025166A" w:rsidP="000420D5">
      <w:pPr>
        <w:autoSpaceDE w:val="0"/>
        <w:autoSpaceDN w:val="0"/>
        <w:adjustRightInd w:val="0"/>
        <w:rPr>
          <w:rFonts w:ascii="Century Gothic" w:hAnsi="Century Gothic" w:cs="Arial"/>
          <w:color w:val="auto"/>
        </w:rPr>
      </w:pPr>
      <w:r w:rsidRPr="0025166A">
        <w:rPr>
          <w:rFonts w:ascii="Century Gothic" w:hAnsi="Century Gothic" w:cs="Arial"/>
          <w:color w:val="auto"/>
        </w:rPr>
        <w:t>Whilst not baselined it is expected that efficiencies will be delivered in terms of time taken to process cases and the reduced need for manual routing of cases, which will be determined by the workflow. A benefits realisation study has taken place which has revealed the following benefits achieved by other local authorities using IDOX Enterprise (as well as other IDOX Uniform modules):</w:t>
      </w:r>
    </w:p>
    <w:p w:rsidR="000420D5" w:rsidRPr="0025166A" w:rsidP="000420D5">
      <w:pPr>
        <w:autoSpaceDE w:val="0"/>
        <w:autoSpaceDN w:val="0"/>
        <w:adjustRightInd w:val="0"/>
        <w:rPr>
          <w:rFonts w:ascii="Century Gothic" w:hAnsi="Century Gothic" w:cs="Arial"/>
          <w:color w:val="auto"/>
        </w:rPr>
      </w:pPr>
    </w:p>
    <w:p w:rsidR="000420D5" w:rsidRPr="0025166A" w:rsidP="000420D5">
      <w:pPr>
        <w:pStyle w:val="ListParagraph"/>
        <w:numPr>
          <w:ilvl w:val="0"/>
          <w:numId w:val="35"/>
        </w:numPr>
        <w:spacing w:after="60"/>
        <w:ind w:left="1440"/>
        <w:outlineLvl w:val="1"/>
        <w:rPr>
          <w:rFonts w:ascii="Century Gothic" w:eastAsia="Times New Roman" w:hAnsi="Century Gothic" w:cs="Arial"/>
          <w:bCs/>
          <w:iCs/>
          <w:color w:val="auto"/>
        </w:rPr>
      </w:pPr>
      <w:r w:rsidRPr="0025166A">
        <w:rPr>
          <w:rFonts w:ascii="Century Gothic" w:eastAsia="Times New Roman" w:hAnsi="Century Gothic" w:cs="Arial"/>
          <w:bCs/>
          <w:iCs/>
          <w:color w:val="auto"/>
        </w:rPr>
        <w:t>55% of applications received electronically</w:t>
      </w:r>
    </w:p>
    <w:p w:rsidR="000420D5" w:rsidRPr="0025166A" w:rsidP="000420D5">
      <w:pPr>
        <w:pStyle w:val="ListParagraph"/>
        <w:numPr>
          <w:ilvl w:val="0"/>
          <w:numId w:val="35"/>
        </w:numPr>
        <w:spacing w:after="60"/>
        <w:ind w:left="1440"/>
        <w:outlineLvl w:val="1"/>
        <w:rPr>
          <w:rFonts w:ascii="Century Gothic" w:eastAsia="Times New Roman" w:hAnsi="Century Gothic" w:cs="Arial"/>
          <w:bCs/>
          <w:iCs/>
          <w:color w:val="auto"/>
        </w:rPr>
      </w:pPr>
      <w:r w:rsidRPr="0025166A">
        <w:rPr>
          <w:rFonts w:ascii="Century Gothic" w:eastAsia="Times New Roman" w:hAnsi="Century Gothic" w:cs="Arial"/>
          <w:bCs/>
          <w:iCs/>
          <w:color w:val="auto"/>
        </w:rPr>
        <w:t>£7,000 per annum saved on printing and postage</w:t>
      </w:r>
    </w:p>
    <w:p w:rsidR="000420D5" w:rsidRPr="0025166A" w:rsidP="000420D5">
      <w:pPr>
        <w:pStyle w:val="ListParagraph"/>
        <w:numPr>
          <w:ilvl w:val="0"/>
          <w:numId w:val="35"/>
        </w:numPr>
        <w:spacing w:after="60"/>
        <w:ind w:left="1440"/>
        <w:outlineLvl w:val="1"/>
        <w:rPr>
          <w:rFonts w:ascii="Century Gothic" w:eastAsia="Times New Roman" w:hAnsi="Century Gothic" w:cs="Arial"/>
          <w:bCs/>
          <w:iCs/>
          <w:color w:val="auto"/>
        </w:rPr>
      </w:pPr>
      <w:r w:rsidRPr="0025166A">
        <w:rPr>
          <w:rFonts w:ascii="Century Gothic" w:eastAsia="Times New Roman" w:hAnsi="Century Gothic" w:cs="Arial"/>
          <w:bCs/>
          <w:iCs/>
          <w:color w:val="auto"/>
        </w:rPr>
        <w:t>93% completion certificates issued within 5 working days (up from 78%)</w:t>
      </w:r>
    </w:p>
    <w:p w:rsidR="000420D5" w:rsidRPr="0025166A" w:rsidP="000420D5">
      <w:pPr>
        <w:pStyle w:val="ListParagraph"/>
        <w:numPr>
          <w:ilvl w:val="0"/>
          <w:numId w:val="35"/>
        </w:numPr>
        <w:spacing w:after="60"/>
        <w:ind w:left="1440"/>
        <w:outlineLvl w:val="1"/>
        <w:rPr>
          <w:rFonts w:ascii="Century Gothic" w:eastAsia="Times New Roman" w:hAnsi="Century Gothic" w:cs="Arial"/>
          <w:bCs/>
          <w:iCs/>
          <w:color w:val="auto"/>
        </w:rPr>
      </w:pPr>
      <w:r w:rsidRPr="0025166A">
        <w:rPr>
          <w:rFonts w:ascii="Century Gothic" w:eastAsia="Times New Roman" w:hAnsi="Century Gothic" w:cs="Arial"/>
          <w:bCs/>
          <w:iCs/>
          <w:color w:val="auto"/>
        </w:rPr>
        <w:t>Positive environmental impact due to officers no longer needing to visit the office to access the IDOX system</w:t>
      </w:r>
    </w:p>
    <w:p w:rsidR="000420D5" w:rsidRPr="0025166A" w:rsidP="000420D5">
      <w:pPr>
        <w:pStyle w:val="ListParagraph"/>
        <w:spacing w:after="60"/>
        <w:outlineLvl w:val="1"/>
        <w:rPr>
          <w:rFonts w:ascii="Century Gothic" w:eastAsia="Times New Roman" w:hAnsi="Century Gothic" w:cs="Arial"/>
          <w:bCs/>
          <w:iCs/>
          <w:color w:val="auto"/>
        </w:rPr>
      </w:pPr>
    </w:p>
    <w:p w:rsidR="000420D5" w:rsidRPr="0025166A" w:rsidP="000420D5">
      <w:pPr>
        <w:spacing w:after="60"/>
        <w:outlineLvl w:val="1"/>
        <w:rPr>
          <w:rFonts w:ascii="Century Gothic" w:hAnsi="Century Gothic" w:cs="Arial"/>
          <w:bCs/>
          <w:iCs/>
          <w:color w:val="auto"/>
        </w:rPr>
      </w:pPr>
      <w:r w:rsidRPr="0025166A">
        <w:rPr>
          <w:rFonts w:ascii="Century Gothic" w:hAnsi="Century Gothic" w:cs="Arial"/>
          <w:bCs/>
          <w:iCs/>
          <w:color w:val="auto"/>
        </w:rPr>
        <w:t>Lincolnshire Building Control also saw an efficiency saving of approximately 170 hours per month on administration which was now automated as part of the IDOX Enterprise function.</w:t>
      </w:r>
    </w:p>
    <w:p w:rsidR="000420D5" w:rsidRPr="0025166A" w:rsidP="000420D5">
      <w:pPr>
        <w:autoSpaceDE w:val="0"/>
        <w:autoSpaceDN w:val="0"/>
        <w:adjustRightInd w:val="0"/>
        <w:rPr>
          <w:rFonts w:ascii="Century Gothic" w:hAnsi="Century Gothic" w:cs="Arial"/>
          <w:color w:val="auto"/>
        </w:rPr>
      </w:pPr>
    </w:p>
    <w:p w:rsidR="000420D5" w:rsidRPr="0025166A" w:rsidP="000420D5">
      <w:pPr>
        <w:autoSpaceDE w:val="0"/>
        <w:autoSpaceDN w:val="0"/>
        <w:adjustRightInd w:val="0"/>
        <w:rPr>
          <w:rFonts w:ascii="Century Gothic" w:hAnsi="Century Gothic" w:cs="Arial"/>
          <w:b/>
          <w:color w:val="auto"/>
        </w:rPr>
      </w:pPr>
      <w:r w:rsidRPr="0025166A">
        <w:rPr>
          <w:rFonts w:ascii="Century Gothic" w:hAnsi="Century Gothic" w:cs="Arial"/>
          <w:b/>
          <w:color w:val="auto"/>
        </w:rPr>
        <w:t>Introduce IDOX EDRMS</w:t>
      </w:r>
    </w:p>
    <w:p w:rsidR="000420D5" w:rsidRPr="0025166A" w:rsidP="000420D5">
      <w:pPr>
        <w:autoSpaceDE w:val="0"/>
        <w:autoSpaceDN w:val="0"/>
        <w:adjustRightInd w:val="0"/>
        <w:rPr>
          <w:rFonts w:ascii="Century Gothic" w:hAnsi="Century Gothic" w:cs="Arial"/>
          <w:color w:val="auto"/>
        </w:rPr>
      </w:pPr>
      <w:r w:rsidRPr="0025166A">
        <w:rPr>
          <w:rFonts w:ascii="Century Gothic" w:hAnsi="Century Gothic" w:cs="Arial"/>
          <w:color w:val="auto"/>
        </w:rPr>
        <w:t>During the councils Public Sector Network (PSN) accreditation process in 2019, it was highlighted that the current EDRMS web portal provided by Civica is out of date and requires upgrading to provide continued PSN compliance and reduce risk to the organisation. To continue using the Civica product or upgrade to a supported version of the Civica product, investment in the region of £15,000 would be required.  If a migration to IDOX DMS for Planning was opted for there would not be a need to carry out the Civica upgrade. The costs associated with IDOX EDRMS are £63,850 as an initial investment with £4,380 annually.</w:t>
      </w:r>
    </w:p>
    <w:p w:rsidR="000420D5" w:rsidRPr="0025166A" w:rsidP="000420D5">
      <w:pPr>
        <w:autoSpaceDE w:val="0"/>
        <w:autoSpaceDN w:val="0"/>
        <w:adjustRightInd w:val="0"/>
        <w:rPr>
          <w:rFonts w:ascii="Century Gothic" w:hAnsi="Century Gothic" w:cs="Arial"/>
          <w:color w:val="auto"/>
        </w:rPr>
      </w:pPr>
    </w:p>
    <w:p w:rsidR="000420D5" w:rsidRPr="0025166A" w:rsidP="000420D5">
      <w:pPr>
        <w:autoSpaceDE w:val="0"/>
        <w:autoSpaceDN w:val="0"/>
        <w:adjustRightInd w:val="0"/>
        <w:rPr>
          <w:rFonts w:ascii="Century Gothic" w:hAnsi="Century Gothic" w:cs="Arial"/>
          <w:color w:val="auto"/>
        </w:rPr>
      </w:pPr>
      <w:r w:rsidRPr="0025166A">
        <w:rPr>
          <w:rFonts w:ascii="Century Gothic" w:hAnsi="Century Gothic" w:cs="Arial"/>
          <w:color w:val="auto"/>
        </w:rPr>
        <w:t>Moving to IDOX EDRMS for Planning would reveal the following business benefits:</w:t>
      </w:r>
    </w:p>
    <w:p w:rsidR="000420D5" w:rsidRPr="0025166A" w:rsidP="000420D5">
      <w:pPr>
        <w:pStyle w:val="ListParagraph"/>
        <w:numPr>
          <w:ilvl w:val="0"/>
          <w:numId w:val="28"/>
        </w:numPr>
        <w:autoSpaceDE w:val="0"/>
        <w:autoSpaceDN w:val="0"/>
        <w:adjustRightInd w:val="0"/>
        <w:ind w:left="1440"/>
        <w:rPr>
          <w:rFonts w:ascii="Century Gothic" w:hAnsi="Century Gothic" w:cs="Arial"/>
          <w:color w:val="auto"/>
        </w:rPr>
      </w:pPr>
      <w:r w:rsidRPr="0025166A">
        <w:rPr>
          <w:rFonts w:ascii="Century Gothic" w:hAnsi="Century Gothic" w:cs="Arial"/>
          <w:color w:val="auto"/>
        </w:rPr>
        <w:t xml:space="preserve">Streamlined integration and workflow with IDOX Enterprise and other IDOX modules.  </w:t>
      </w:r>
    </w:p>
    <w:p w:rsidR="000420D5" w:rsidRPr="0025166A" w:rsidP="000420D5">
      <w:pPr>
        <w:pStyle w:val="ListParagraph"/>
        <w:numPr>
          <w:ilvl w:val="0"/>
          <w:numId w:val="28"/>
        </w:numPr>
        <w:autoSpaceDE w:val="0"/>
        <w:autoSpaceDN w:val="0"/>
        <w:adjustRightInd w:val="0"/>
        <w:ind w:left="1440"/>
        <w:rPr>
          <w:rFonts w:ascii="Century Gothic" w:hAnsi="Century Gothic" w:cs="Arial"/>
          <w:color w:val="auto"/>
        </w:rPr>
      </w:pPr>
      <w:r w:rsidRPr="0025166A">
        <w:rPr>
          <w:rFonts w:ascii="Century Gothic" w:hAnsi="Century Gothic" w:cs="Arial"/>
          <w:color w:val="auto"/>
        </w:rPr>
        <w:t>Simplification of the overall landscape reducing IT management overheads.</w:t>
      </w:r>
    </w:p>
    <w:p w:rsidR="000420D5" w:rsidRPr="0025166A" w:rsidP="000420D5">
      <w:pPr>
        <w:pStyle w:val="ListParagraph"/>
        <w:numPr>
          <w:ilvl w:val="0"/>
          <w:numId w:val="28"/>
        </w:numPr>
        <w:autoSpaceDE w:val="0"/>
        <w:autoSpaceDN w:val="0"/>
        <w:adjustRightInd w:val="0"/>
        <w:ind w:left="1440"/>
        <w:rPr>
          <w:rFonts w:ascii="Century Gothic" w:hAnsi="Century Gothic" w:cs="Arial"/>
          <w:color w:val="auto"/>
        </w:rPr>
      </w:pPr>
      <w:r w:rsidRPr="0025166A">
        <w:rPr>
          <w:rFonts w:ascii="Century Gothic" w:hAnsi="Century Gothic" w:cs="Arial"/>
          <w:color w:val="auto"/>
        </w:rPr>
        <w:t>Simpler authentication and single sign-on, by being reliant on a single vendor’s systems, resulting in an improved user experience, reliability and efficiency.</w:t>
      </w:r>
    </w:p>
    <w:p w:rsidR="000420D5" w:rsidRPr="0025166A" w:rsidP="000420D5">
      <w:pPr>
        <w:pStyle w:val="ListParagraph"/>
        <w:numPr>
          <w:ilvl w:val="0"/>
          <w:numId w:val="28"/>
        </w:numPr>
        <w:autoSpaceDE w:val="0"/>
        <w:autoSpaceDN w:val="0"/>
        <w:adjustRightInd w:val="0"/>
        <w:ind w:left="1440"/>
        <w:rPr>
          <w:rFonts w:ascii="Century Gothic" w:hAnsi="Century Gothic" w:cs="Arial"/>
          <w:color w:val="auto"/>
        </w:rPr>
      </w:pPr>
      <w:r w:rsidRPr="0025166A">
        <w:rPr>
          <w:rFonts w:ascii="Century Gothic" w:hAnsi="Century Gothic" w:cs="Arial"/>
          <w:color w:val="auto"/>
        </w:rPr>
        <w:t xml:space="preserve">Support from a single vendor end-to-end for Planning resulting in improved supportability and efficiency. </w:t>
      </w:r>
    </w:p>
    <w:p w:rsidR="000420D5" w:rsidRPr="0025166A" w:rsidP="000420D5">
      <w:pPr>
        <w:autoSpaceDE w:val="0"/>
        <w:autoSpaceDN w:val="0"/>
        <w:adjustRightInd w:val="0"/>
        <w:rPr>
          <w:rFonts w:ascii="Century Gothic" w:hAnsi="Century Gothic" w:cs="Arial"/>
          <w:color w:val="auto"/>
        </w:rPr>
      </w:pPr>
    </w:p>
    <w:p w:rsidR="000420D5" w:rsidRPr="0025166A" w:rsidP="000420D5">
      <w:pPr>
        <w:autoSpaceDE w:val="0"/>
        <w:autoSpaceDN w:val="0"/>
        <w:adjustRightInd w:val="0"/>
        <w:rPr>
          <w:rFonts w:ascii="Century Gothic" w:hAnsi="Century Gothic" w:cs="Arial"/>
          <w:color w:val="auto"/>
        </w:rPr>
      </w:pPr>
      <w:r w:rsidRPr="0025166A">
        <w:rPr>
          <w:rFonts w:ascii="Century Gothic" w:hAnsi="Century Gothic" w:cs="Arial"/>
          <w:color w:val="auto"/>
        </w:rPr>
        <w:t>It should also be noted that whilst the IDOX DMS require increased revenue when compared to the existing Civica DMS solution, the proposed solution will deliver document management capabilities to all services using IDOX whilst Civica only delivers document management capabilities to planning officers.</w:t>
      </w:r>
    </w:p>
    <w:p w:rsidR="000420D5" w:rsidRPr="0025166A" w:rsidP="000420D5">
      <w:pPr>
        <w:autoSpaceDE w:val="0"/>
        <w:autoSpaceDN w:val="0"/>
        <w:adjustRightInd w:val="0"/>
        <w:rPr>
          <w:rFonts w:ascii="Century Gothic" w:hAnsi="Century Gothic" w:cs="Arial"/>
          <w:color w:val="auto"/>
        </w:rPr>
      </w:pPr>
    </w:p>
    <w:p w:rsidR="000420D5" w:rsidRPr="0025166A" w:rsidP="000420D5">
      <w:pPr>
        <w:autoSpaceDE w:val="0"/>
        <w:autoSpaceDN w:val="0"/>
        <w:adjustRightInd w:val="0"/>
        <w:rPr>
          <w:rFonts w:ascii="Century Gothic" w:hAnsi="Century Gothic" w:cs="Arial"/>
          <w:color w:val="auto"/>
        </w:rPr>
      </w:pPr>
      <w:r w:rsidRPr="0025166A">
        <w:rPr>
          <w:rFonts w:ascii="Century Gothic" w:hAnsi="Century Gothic" w:cs="Arial"/>
          <w:color w:val="auto"/>
        </w:rPr>
        <w:t>There would also be associated costs of approximately £20,000 to migrate the existing data from Civica to IDOX.</w:t>
      </w:r>
    </w:p>
    <w:p w:rsidR="000420D5" w:rsidRPr="0025166A" w:rsidP="000420D5">
      <w:pPr>
        <w:autoSpaceDE w:val="0"/>
        <w:autoSpaceDN w:val="0"/>
        <w:adjustRightInd w:val="0"/>
        <w:rPr>
          <w:rFonts w:ascii="Century Gothic" w:hAnsi="Century Gothic" w:cs="Arial"/>
          <w:b/>
          <w:color w:val="auto"/>
        </w:rPr>
      </w:pPr>
    </w:p>
    <w:p w:rsidR="000420D5" w:rsidRPr="0025166A" w:rsidP="000420D5">
      <w:pPr>
        <w:autoSpaceDE w:val="0"/>
        <w:autoSpaceDN w:val="0"/>
        <w:adjustRightInd w:val="0"/>
        <w:rPr>
          <w:rFonts w:ascii="Century Gothic" w:hAnsi="Century Gothic" w:cs="Arial"/>
          <w:b/>
          <w:color w:val="auto"/>
        </w:rPr>
      </w:pPr>
      <w:r w:rsidRPr="0025166A">
        <w:rPr>
          <w:rFonts w:ascii="Century Gothic" w:hAnsi="Century Gothic" w:cs="Arial"/>
          <w:b/>
          <w:color w:val="auto"/>
        </w:rPr>
        <w:t xml:space="preserve">Consolidate </w:t>
      </w:r>
      <w:r w:rsidRPr="0025166A">
        <w:rPr>
          <w:rFonts w:ascii="Century Gothic" w:hAnsi="Century Gothic" w:cs="Arial"/>
          <w:b/>
          <w:color w:val="auto"/>
        </w:rPr>
        <w:t>Lalpac</w:t>
      </w:r>
      <w:r w:rsidRPr="0025166A">
        <w:rPr>
          <w:rFonts w:ascii="Century Gothic" w:hAnsi="Century Gothic" w:cs="Arial"/>
          <w:b/>
          <w:color w:val="auto"/>
        </w:rPr>
        <w:t xml:space="preserve"> into IDOX Licensing</w:t>
      </w:r>
    </w:p>
    <w:p w:rsidR="000420D5" w:rsidRPr="0025166A" w:rsidP="000420D5">
      <w:pPr>
        <w:autoSpaceDE w:val="0"/>
        <w:autoSpaceDN w:val="0"/>
        <w:adjustRightInd w:val="0"/>
        <w:rPr>
          <w:rFonts w:ascii="Century Gothic" w:hAnsi="Century Gothic" w:cs="Arial"/>
          <w:b/>
          <w:color w:val="auto"/>
        </w:rPr>
      </w:pPr>
    </w:p>
    <w:p w:rsidR="000420D5" w:rsidRPr="0025166A" w:rsidP="000420D5">
      <w:pPr>
        <w:autoSpaceDE w:val="0"/>
        <w:autoSpaceDN w:val="0"/>
        <w:adjustRightInd w:val="0"/>
        <w:rPr>
          <w:rFonts w:ascii="Century Gothic" w:hAnsi="Century Gothic" w:cs="Arial"/>
          <w:color w:val="auto"/>
        </w:rPr>
      </w:pPr>
      <w:r w:rsidRPr="0025166A">
        <w:rPr>
          <w:rFonts w:ascii="Century Gothic" w:hAnsi="Century Gothic" w:cs="Arial"/>
          <w:color w:val="auto"/>
        </w:rPr>
        <w:t xml:space="preserve">The proposal included within this project is to consolidate the existing </w:t>
      </w:r>
      <w:r w:rsidRPr="0025166A">
        <w:rPr>
          <w:rFonts w:ascii="Century Gothic" w:hAnsi="Century Gothic" w:cs="Arial"/>
          <w:color w:val="auto"/>
        </w:rPr>
        <w:t>Lalpac</w:t>
      </w:r>
      <w:r w:rsidRPr="0025166A">
        <w:rPr>
          <w:rFonts w:ascii="Century Gothic" w:hAnsi="Century Gothic" w:cs="Arial"/>
          <w:color w:val="auto"/>
        </w:rPr>
        <w:t xml:space="preserve"> Licensing solution into Uniform. This will provide benefits for the licensing service by reducing manual back office functions, providing mobile and remote inspection and enforcement capabilities, as well as providing a single property view (Licensing, Environmental Health, and Planning history in one accessible location). There will also be benefits to external stakeholder by improving public access functionality and aligning this to the same look and feel as the Planning public access functionality. </w:t>
      </w:r>
    </w:p>
    <w:p w:rsidR="000420D5" w:rsidRPr="0025166A" w:rsidP="000420D5">
      <w:pPr>
        <w:autoSpaceDE w:val="0"/>
        <w:autoSpaceDN w:val="0"/>
        <w:adjustRightInd w:val="0"/>
        <w:rPr>
          <w:rFonts w:ascii="Century Gothic" w:hAnsi="Century Gothic" w:cs="Arial"/>
          <w:color w:val="auto"/>
        </w:rPr>
      </w:pPr>
    </w:p>
    <w:p w:rsidR="000420D5" w:rsidRPr="0025166A" w:rsidP="0025166A">
      <w:pPr>
        <w:autoSpaceDE w:val="0"/>
        <w:autoSpaceDN w:val="0"/>
        <w:adjustRightInd w:val="0"/>
        <w:rPr>
          <w:rFonts w:ascii="Century Gothic" w:hAnsi="Century Gothic" w:cs="Arial"/>
          <w:color w:val="auto"/>
        </w:rPr>
      </w:pPr>
      <w:r w:rsidRPr="0025166A">
        <w:rPr>
          <w:rFonts w:ascii="Century Gothic" w:hAnsi="Century Gothic" w:cs="Arial"/>
          <w:color w:val="auto"/>
        </w:rPr>
        <w:t xml:space="preserve">The costs associated with this consolidation require an initial investment of £37,800 plus an annual cost of £16,543. This would be offset by a removal of the annual charge of £16,543 currently provisioned for the </w:t>
      </w:r>
      <w:r w:rsidRPr="0025166A">
        <w:rPr>
          <w:rFonts w:ascii="Century Gothic" w:hAnsi="Century Gothic" w:cs="Arial"/>
          <w:color w:val="auto"/>
        </w:rPr>
        <w:t>Lalpac</w:t>
      </w:r>
      <w:r w:rsidRPr="0025166A">
        <w:rPr>
          <w:rFonts w:ascii="Century Gothic" w:hAnsi="Century Gothic" w:cs="Arial"/>
          <w:color w:val="auto"/>
        </w:rPr>
        <w:t xml:space="preserve"> licensing system.</w:t>
      </w:r>
    </w:p>
    <w:p w:rsidR="000420D5" w:rsidRPr="0025166A" w:rsidP="000420D5">
      <w:pPr>
        <w:autoSpaceDE w:val="0"/>
        <w:autoSpaceDN w:val="0"/>
        <w:adjustRightInd w:val="0"/>
        <w:rPr>
          <w:rFonts w:ascii="Century Gothic" w:hAnsi="Century Gothic" w:cs="Arial"/>
          <w:color w:val="auto"/>
        </w:rPr>
      </w:pPr>
    </w:p>
    <w:p w:rsidR="000420D5" w:rsidRPr="0025166A" w:rsidP="000420D5">
      <w:pPr>
        <w:autoSpaceDE w:val="0"/>
        <w:autoSpaceDN w:val="0"/>
        <w:adjustRightInd w:val="0"/>
        <w:rPr>
          <w:rFonts w:ascii="Century Gothic" w:hAnsi="Century Gothic" w:cs="Arial"/>
          <w:b/>
          <w:color w:val="auto"/>
        </w:rPr>
      </w:pPr>
      <w:r w:rsidRPr="0025166A">
        <w:rPr>
          <w:rFonts w:ascii="Century Gothic" w:hAnsi="Century Gothic" w:cs="Arial"/>
          <w:b/>
          <w:color w:val="auto"/>
        </w:rPr>
        <w:t>Introduce IDOX Data Management Tool</w:t>
      </w:r>
    </w:p>
    <w:p w:rsidR="000420D5" w:rsidRPr="0025166A" w:rsidP="0025166A">
      <w:pPr>
        <w:autoSpaceDE w:val="0"/>
        <w:autoSpaceDN w:val="0"/>
        <w:adjustRightInd w:val="0"/>
        <w:rPr>
          <w:rFonts w:ascii="Century Gothic" w:hAnsi="Century Gothic" w:cs="Arial"/>
          <w:color w:val="auto"/>
        </w:rPr>
      </w:pPr>
      <w:r w:rsidRPr="0025166A">
        <w:rPr>
          <w:rFonts w:ascii="Century Gothic" w:hAnsi="Century Gothic" w:cs="Arial"/>
          <w:color w:val="auto"/>
        </w:rPr>
        <w:t xml:space="preserve">Costs associated with this module will involve an initial investment of £9,250 including training, with a further £1,000 per annum for support and maintenance. Whilst no efficiencies are expected to be received from this investment, it is required to ensure compliance with GDPR and Data Protection.  This will strengthen the Council’s </w:t>
      </w:r>
      <w:r w:rsidRPr="0025166A">
        <w:rPr>
          <w:rFonts w:ascii="Century Gothic" w:hAnsi="Century Gothic" w:cs="Arial"/>
          <w:color w:val="auto"/>
        </w:rPr>
        <w:t xml:space="preserve">compliance position with a positive impact on risk profile levels as data is being actively managed against known data protection legislation and GDPR cleansing rules.  </w:t>
      </w:r>
    </w:p>
    <w:p w:rsidR="000420D5" w:rsidRPr="0025166A" w:rsidP="000420D5">
      <w:pPr>
        <w:pStyle w:val="ListParagraph"/>
        <w:ind w:left="0"/>
        <w:jc w:val="both"/>
        <w:rPr>
          <w:rFonts w:ascii="Century Gothic" w:eastAsia="Times New Roman" w:hAnsi="Century Gothic" w:cs="Arial"/>
          <w:color w:val="auto"/>
        </w:rPr>
      </w:pPr>
    </w:p>
    <w:p w:rsidR="000420D5" w:rsidRPr="0025166A" w:rsidP="000420D5">
      <w:pPr>
        <w:jc w:val="both"/>
        <w:rPr>
          <w:rFonts w:ascii="Century Gothic" w:hAnsi="Century Gothic" w:cs="Arial"/>
          <w:b/>
          <w:color w:val="auto"/>
        </w:rPr>
      </w:pPr>
      <w:r w:rsidRPr="0025166A">
        <w:rPr>
          <w:rFonts w:ascii="Century Gothic" w:hAnsi="Century Gothic" w:cs="Arial"/>
          <w:b/>
          <w:color w:val="auto"/>
        </w:rPr>
        <w:t>Out of Scope</w:t>
      </w:r>
    </w:p>
    <w:p w:rsidR="000420D5" w:rsidRPr="0025166A" w:rsidP="0025166A">
      <w:pPr>
        <w:jc w:val="both"/>
        <w:rPr>
          <w:rFonts w:ascii="Century Gothic" w:hAnsi="Century Gothic" w:cs="Arial"/>
          <w:color w:val="auto"/>
        </w:rPr>
      </w:pPr>
      <w:r w:rsidRPr="0025166A">
        <w:rPr>
          <w:rFonts w:ascii="Century Gothic" w:hAnsi="Century Gothic" w:cs="Arial"/>
          <w:color w:val="auto"/>
        </w:rPr>
        <w:t xml:space="preserve">Whilst IDOX Elections and Total Land Charges are both provided by IDOX, under the scope of this project there will be no changes or updates to either system, this is due to both products sitting outside of the Uniform system and there being limited scope for additional functionality at this moment in time. </w:t>
      </w:r>
    </w:p>
    <w:p w:rsidR="000420D5" w:rsidRPr="0025166A" w:rsidP="000420D5">
      <w:pPr>
        <w:jc w:val="both"/>
        <w:rPr>
          <w:rFonts w:ascii="Century Gothic" w:hAnsi="Century Gothic" w:cs="Arial"/>
          <w:color w:val="auto"/>
        </w:rPr>
      </w:pPr>
    </w:p>
    <w:p w:rsidR="000420D5" w:rsidRPr="0025166A" w:rsidP="0025166A">
      <w:pPr>
        <w:jc w:val="both"/>
        <w:rPr>
          <w:rFonts w:ascii="Century Gothic" w:hAnsi="Century Gothic" w:cs="Arial"/>
          <w:color w:val="auto"/>
        </w:rPr>
      </w:pPr>
      <w:r w:rsidRPr="0025166A">
        <w:rPr>
          <w:rFonts w:ascii="Century Gothic" w:hAnsi="Century Gothic" w:cs="Arial"/>
          <w:color w:val="auto"/>
        </w:rPr>
        <w:t>A further project within D2I scheduled for year three of the programme, will look to introduce electronic canvassing to support the councils agile and paperless ambitions.</w:t>
      </w:r>
    </w:p>
    <w:p w:rsidR="00F14060">
      <w:pPr>
        <w:jc w:val="both"/>
        <w:rPr>
          <w:rFonts w:ascii="Century Gothic" w:eastAsia="Times New Roman" w:hAnsi="Century Gothic" w:cs="Times New Roman"/>
          <w:color w:val="auto"/>
        </w:rPr>
      </w:pPr>
    </w:p>
    <w:p w:rsidR="00F14060">
      <w:pPr>
        <w:jc w:val="both"/>
        <w:rPr>
          <w:rFonts w:ascii="Century Gothic" w:eastAsia="Times New Roman" w:hAnsi="Century Gothic" w:cs="Times New Roman"/>
          <w:b/>
          <w:color w:val="auto"/>
          <w:sz w:val="32"/>
          <w:szCs w:val="24"/>
        </w:rPr>
      </w:pPr>
      <w:r>
        <w:rPr>
          <w:rFonts w:ascii="Century Gothic" w:eastAsia="Times New Roman" w:hAnsi="Century Gothic" w:cs="Times New Roman"/>
          <w:b/>
          <w:color w:val="auto"/>
          <w:sz w:val="32"/>
          <w:szCs w:val="24"/>
        </w:rPr>
        <w:t xml:space="preserve">Project Outcomes </w:t>
      </w:r>
      <w:r w:rsidR="00F17A60">
        <w:rPr>
          <w:rFonts w:ascii="Century Gothic" w:eastAsia="Times New Roman" w:hAnsi="Century Gothic" w:cs="Times New Roman"/>
          <w:b/>
          <w:color w:val="auto"/>
          <w:sz w:val="32"/>
          <w:szCs w:val="24"/>
        </w:rPr>
        <w:t>and Deliverables</w:t>
      </w:r>
    </w:p>
    <w:p w:rsidR="00F14060">
      <w:pPr>
        <w:jc w:val="both"/>
        <w:rPr>
          <w:rFonts w:ascii="Century Gothic" w:eastAsia="Times New Roman" w:hAnsi="Century Gothic" w:cs="Times New Roman"/>
          <w:color w:val="auto"/>
        </w:rPr>
      </w:pPr>
    </w:p>
    <w:tbl>
      <w:tblPr>
        <w:tblStyle w:val="GridTable4"/>
        <w:tblW w:w="0" w:type="auto"/>
        <w:tblLook w:val="04A0"/>
      </w:tblPr>
      <w:tblGrid>
        <w:gridCol w:w="4814"/>
        <w:gridCol w:w="4814"/>
      </w:tblGrid>
      <w:tr w:rsidTr="00F14060">
        <w:tblPrEx>
          <w:tblW w:w="0" w:type="auto"/>
          <w:tblLook w:val="04A0"/>
        </w:tblPrEx>
        <w:tc>
          <w:tcPr>
            <w:tcW w:w="4814" w:type="dxa"/>
          </w:tcPr>
          <w:p w:rsidR="00F14060">
            <w:pPr>
              <w:jc w:val="center"/>
              <w:rPr>
                <w:rFonts w:ascii="Century Gothic" w:eastAsia="Times New Roman" w:hAnsi="Century Gothic" w:cs="Times New Roman"/>
                <w:color w:val="auto"/>
              </w:rPr>
            </w:pPr>
            <w:r>
              <w:rPr>
                <w:rFonts w:ascii="Century Gothic" w:eastAsia="Times New Roman" w:hAnsi="Century Gothic" w:cs="Times New Roman"/>
                <w:color w:val="auto"/>
              </w:rPr>
              <w:t>Initiative</w:t>
            </w:r>
          </w:p>
        </w:tc>
        <w:tc>
          <w:tcPr>
            <w:tcW w:w="4814" w:type="dxa"/>
          </w:tcPr>
          <w:p w:rsidR="00F14060">
            <w:pPr>
              <w:jc w:val="center"/>
              <w:rPr>
                <w:rFonts w:ascii="Century Gothic" w:eastAsia="Times New Roman" w:hAnsi="Century Gothic" w:cs="Times New Roman"/>
                <w:color w:val="auto"/>
              </w:rPr>
            </w:pPr>
            <w:r>
              <w:rPr>
                <w:rFonts w:ascii="Century Gothic" w:eastAsia="Times New Roman" w:hAnsi="Century Gothic" w:cs="Times New Roman"/>
                <w:color w:val="auto"/>
              </w:rPr>
              <w:t>Key Outcomes</w:t>
            </w:r>
          </w:p>
        </w:tc>
      </w:tr>
      <w:tr w:rsidTr="00F14060">
        <w:tblPrEx>
          <w:tblW w:w="0" w:type="auto"/>
          <w:tblLook w:val="04A0"/>
        </w:tblPrEx>
        <w:tc>
          <w:tcPr>
            <w:tcW w:w="4814" w:type="dxa"/>
          </w:tcPr>
          <w:p w:rsidR="00F40BCE" w:rsidRPr="00F40BCE">
            <w:pPr>
              <w:jc w:val="both"/>
              <w:rPr>
                <w:rFonts w:ascii="Century Gothic" w:eastAsia="Times New Roman" w:hAnsi="Century Gothic" w:cs="Times New Roman"/>
                <w:b w:val="0"/>
                <w:color w:val="auto"/>
              </w:rPr>
            </w:pPr>
            <w:r w:rsidRPr="00F40BCE">
              <w:rPr>
                <w:rFonts w:ascii="Century Gothic" w:eastAsia="Times New Roman" w:hAnsi="Century Gothic" w:cs="Times New Roman"/>
                <w:b w:val="0"/>
                <w:color w:val="auto"/>
              </w:rPr>
              <w:t>IDOX Health Check</w:t>
            </w:r>
          </w:p>
        </w:tc>
        <w:tc>
          <w:tcPr>
            <w:tcW w:w="4814" w:type="dxa"/>
          </w:tcPr>
          <w:p w:rsidR="00F40BCE" w:rsidP="002F6EEE">
            <w:pPr>
              <w:pStyle w:val="Default"/>
              <w:numPr>
                <w:ilvl w:val="0"/>
                <w:numId w:val="25"/>
              </w:numPr>
              <w:jc w:val="both"/>
              <w:rPr>
                <w:rFonts w:ascii="Century Gothic" w:hAnsi="Century Gothic"/>
                <w:sz w:val="22"/>
                <w:szCs w:val="22"/>
              </w:rPr>
            </w:pPr>
            <w:r>
              <w:rPr>
                <w:rFonts w:ascii="Century Gothic" w:hAnsi="Century Gothic"/>
                <w:sz w:val="22"/>
                <w:szCs w:val="22"/>
              </w:rPr>
              <w:t>Ensure GDPR and Data Protection Compliance</w:t>
            </w:r>
          </w:p>
        </w:tc>
      </w:tr>
      <w:tr w:rsidTr="00F14060">
        <w:tblPrEx>
          <w:tblW w:w="0" w:type="auto"/>
          <w:tblLook w:val="04A0"/>
        </w:tblPrEx>
        <w:tc>
          <w:tcPr>
            <w:tcW w:w="4814" w:type="dxa"/>
          </w:tcPr>
          <w:p w:rsidR="00F14060">
            <w:pPr>
              <w:jc w:val="both"/>
              <w:rPr>
                <w:rFonts w:ascii="Century Gothic" w:eastAsia="Times New Roman" w:hAnsi="Century Gothic" w:cs="Times New Roman"/>
                <w:b w:val="0"/>
                <w:color w:val="auto"/>
              </w:rPr>
            </w:pPr>
            <w:r>
              <w:rPr>
                <w:rFonts w:ascii="Century Gothic" w:eastAsia="Times New Roman" w:hAnsi="Century Gothic" w:cs="Times New Roman"/>
                <w:b w:val="0"/>
                <w:color w:val="auto"/>
              </w:rPr>
              <w:t xml:space="preserve">IDOX </w:t>
            </w:r>
            <w:r w:rsidR="00D069C2">
              <w:rPr>
                <w:rFonts w:ascii="Century Gothic" w:eastAsia="Times New Roman" w:hAnsi="Century Gothic" w:cs="Times New Roman"/>
                <w:b w:val="0"/>
                <w:color w:val="auto"/>
              </w:rPr>
              <w:t>EDRMS</w:t>
            </w:r>
          </w:p>
        </w:tc>
        <w:tc>
          <w:tcPr>
            <w:tcW w:w="4814" w:type="dxa"/>
          </w:tcPr>
          <w:p w:rsidR="00F14060" w:rsidP="002F6EEE">
            <w:pPr>
              <w:pStyle w:val="Default"/>
              <w:numPr>
                <w:ilvl w:val="0"/>
                <w:numId w:val="25"/>
              </w:numPr>
              <w:jc w:val="both"/>
              <w:rPr>
                <w:rFonts w:ascii="Century Gothic" w:hAnsi="Century Gothic"/>
                <w:sz w:val="22"/>
                <w:szCs w:val="22"/>
              </w:rPr>
            </w:pPr>
            <w:r>
              <w:rPr>
                <w:rFonts w:ascii="Century Gothic" w:hAnsi="Century Gothic"/>
                <w:sz w:val="22"/>
                <w:szCs w:val="22"/>
              </w:rPr>
              <w:t>Compliance with Data Protection (GDPR)</w:t>
            </w:r>
          </w:p>
          <w:p w:rsidR="002F6EEE" w:rsidP="002F6EEE">
            <w:pPr>
              <w:pStyle w:val="Default"/>
              <w:numPr>
                <w:ilvl w:val="0"/>
                <w:numId w:val="25"/>
              </w:numPr>
              <w:jc w:val="both"/>
              <w:rPr>
                <w:rFonts w:ascii="Century Gothic" w:hAnsi="Century Gothic"/>
                <w:sz w:val="22"/>
                <w:szCs w:val="22"/>
              </w:rPr>
            </w:pPr>
            <w:r>
              <w:rPr>
                <w:rFonts w:ascii="Century Gothic" w:hAnsi="Century Gothic"/>
                <w:sz w:val="22"/>
                <w:szCs w:val="22"/>
              </w:rPr>
              <w:t>Improved Customer contacts and journeys</w:t>
            </w:r>
          </w:p>
          <w:p w:rsidR="002F6EEE" w:rsidP="002F6EEE">
            <w:pPr>
              <w:pStyle w:val="Default"/>
              <w:numPr>
                <w:ilvl w:val="0"/>
                <w:numId w:val="25"/>
              </w:numPr>
              <w:jc w:val="both"/>
              <w:rPr>
                <w:rFonts w:ascii="Century Gothic" w:hAnsi="Century Gothic"/>
                <w:sz w:val="22"/>
                <w:szCs w:val="22"/>
              </w:rPr>
            </w:pPr>
            <w:r>
              <w:rPr>
                <w:rFonts w:ascii="Century Gothic" w:hAnsi="Century Gothic"/>
                <w:sz w:val="22"/>
                <w:szCs w:val="22"/>
              </w:rPr>
              <w:t>Asset Management</w:t>
            </w:r>
          </w:p>
          <w:p w:rsidR="00FC5F10" w:rsidP="002F6EEE">
            <w:pPr>
              <w:pStyle w:val="Default"/>
              <w:numPr>
                <w:ilvl w:val="0"/>
                <w:numId w:val="25"/>
              </w:numPr>
              <w:jc w:val="both"/>
              <w:rPr>
                <w:rFonts w:ascii="Century Gothic" w:hAnsi="Century Gothic"/>
                <w:sz w:val="22"/>
                <w:szCs w:val="22"/>
              </w:rPr>
            </w:pPr>
            <w:r>
              <w:rPr>
                <w:rFonts w:ascii="Century Gothic" w:hAnsi="Century Gothic"/>
                <w:sz w:val="22"/>
                <w:szCs w:val="22"/>
              </w:rPr>
              <w:t>System rationalisation and Single Sign On</w:t>
            </w:r>
          </w:p>
        </w:tc>
      </w:tr>
      <w:tr w:rsidTr="00F14060">
        <w:tblPrEx>
          <w:tblW w:w="0" w:type="auto"/>
          <w:tblLook w:val="04A0"/>
        </w:tblPrEx>
        <w:tc>
          <w:tcPr>
            <w:tcW w:w="4814" w:type="dxa"/>
          </w:tcPr>
          <w:p w:rsidR="002F6EEE" w:rsidP="002F6EEE">
            <w:pPr>
              <w:jc w:val="both"/>
              <w:rPr>
                <w:rFonts w:ascii="Century Gothic" w:eastAsia="Times New Roman" w:hAnsi="Century Gothic" w:cs="Times New Roman"/>
                <w:b w:val="0"/>
                <w:color w:val="auto"/>
              </w:rPr>
            </w:pPr>
            <w:r>
              <w:rPr>
                <w:rFonts w:ascii="Century Gothic" w:eastAsia="Times New Roman" w:hAnsi="Century Gothic" w:cs="Times New Roman"/>
                <w:b w:val="0"/>
                <w:color w:val="auto"/>
              </w:rPr>
              <w:t>IDOX Enterprise</w:t>
            </w:r>
          </w:p>
        </w:tc>
        <w:tc>
          <w:tcPr>
            <w:tcW w:w="4814" w:type="dxa"/>
          </w:tcPr>
          <w:p w:rsidR="002F6EEE" w:rsidP="002F6EEE">
            <w:pPr>
              <w:pStyle w:val="Default"/>
              <w:numPr>
                <w:ilvl w:val="0"/>
                <w:numId w:val="26"/>
              </w:numPr>
              <w:rPr>
                <w:rFonts w:ascii="Century Gothic" w:hAnsi="Century Gothic"/>
                <w:sz w:val="22"/>
                <w:szCs w:val="22"/>
              </w:rPr>
            </w:pPr>
            <w:r>
              <w:rPr>
                <w:rFonts w:ascii="Century Gothic" w:hAnsi="Century Gothic"/>
                <w:sz w:val="22"/>
                <w:szCs w:val="22"/>
              </w:rPr>
              <w:t>Performance Management - Improved KPI recording</w:t>
            </w:r>
          </w:p>
          <w:p w:rsidR="002F6EEE" w:rsidP="002F6EEE">
            <w:pPr>
              <w:pStyle w:val="Default"/>
              <w:numPr>
                <w:ilvl w:val="0"/>
                <w:numId w:val="26"/>
              </w:numPr>
              <w:rPr>
                <w:rFonts w:ascii="Century Gothic" w:hAnsi="Century Gothic"/>
                <w:sz w:val="22"/>
                <w:szCs w:val="22"/>
              </w:rPr>
            </w:pPr>
            <w:r>
              <w:rPr>
                <w:rFonts w:ascii="Century Gothic" w:hAnsi="Century Gothic"/>
                <w:sz w:val="22"/>
                <w:szCs w:val="22"/>
              </w:rPr>
              <w:t>Improve ways of working, enable officer time to be repurposed</w:t>
            </w:r>
          </w:p>
          <w:p w:rsidR="00BF5431" w:rsidRPr="00BF5431" w:rsidP="00BF5431">
            <w:pPr>
              <w:pStyle w:val="Default"/>
              <w:numPr>
                <w:ilvl w:val="0"/>
                <w:numId w:val="26"/>
              </w:numPr>
              <w:rPr>
                <w:rFonts w:ascii="Century Gothic" w:hAnsi="Century Gothic"/>
                <w:sz w:val="22"/>
                <w:szCs w:val="22"/>
              </w:rPr>
            </w:pPr>
            <w:r>
              <w:rPr>
                <w:rFonts w:ascii="Century Gothic" w:hAnsi="Century Gothic"/>
                <w:sz w:val="22"/>
                <w:szCs w:val="22"/>
              </w:rPr>
              <w:t xml:space="preserve">Simplified </w:t>
            </w:r>
            <w:r>
              <w:rPr>
                <w:rFonts w:ascii="Century Gothic" w:hAnsi="Century Gothic"/>
                <w:sz w:val="22"/>
                <w:szCs w:val="22"/>
              </w:rPr>
              <w:t>Workflow routing and automation</w:t>
            </w:r>
          </w:p>
        </w:tc>
      </w:tr>
      <w:tr w:rsidTr="00F14060">
        <w:tblPrEx>
          <w:tblW w:w="0" w:type="auto"/>
          <w:tblLook w:val="04A0"/>
        </w:tblPrEx>
        <w:tc>
          <w:tcPr>
            <w:tcW w:w="4814" w:type="dxa"/>
          </w:tcPr>
          <w:p w:rsidR="002F6EEE" w:rsidP="002F6EEE">
            <w:pPr>
              <w:jc w:val="both"/>
              <w:rPr>
                <w:rFonts w:ascii="Century Gothic" w:hAnsi="Century Gothic" w:cs="Arial"/>
                <w:b w:val="0"/>
                <w:color w:val="000000"/>
              </w:rPr>
            </w:pPr>
            <w:r>
              <w:rPr>
                <w:rFonts w:ascii="Century Gothic" w:hAnsi="Century Gothic" w:cs="Arial"/>
                <w:b w:val="0"/>
                <w:color w:val="000000"/>
              </w:rPr>
              <w:t>IDOX Mobile Applications</w:t>
            </w:r>
          </w:p>
        </w:tc>
        <w:tc>
          <w:tcPr>
            <w:tcW w:w="4814" w:type="dxa"/>
          </w:tcPr>
          <w:p w:rsidR="002F6EEE" w:rsidP="002F6EEE">
            <w:pPr>
              <w:pStyle w:val="Default"/>
              <w:numPr>
                <w:ilvl w:val="0"/>
                <w:numId w:val="27"/>
              </w:numPr>
              <w:jc w:val="both"/>
              <w:rPr>
                <w:rFonts w:ascii="Century Gothic" w:hAnsi="Century Gothic"/>
                <w:sz w:val="22"/>
                <w:szCs w:val="22"/>
              </w:rPr>
            </w:pPr>
            <w:r>
              <w:rPr>
                <w:rFonts w:ascii="Century Gothic" w:hAnsi="Century Gothic"/>
                <w:sz w:val="22"/>
                <w:szCs w:val="22"/>
              </w:rPr>
              <w:t>Enable remote / Agile working</w:t>
            </w:r>
          </w:p>
          <w:p w:rsidR="002F6EEE" w:rsidP="002F6EEE">
            <w:pPr>
              <w:pStyle w:val="Default"/>
              <w:numPr>
                <w:ilvl w:val="0"/>
                <w:numId w:val="27"/>
              </w:numPr>
              <w:jc w:val="both"/>
              <w:rPr>
                <w:rFonts w:ascii="Century Gothic" w:hAnsi="Century Gothic"/>
                <w:sz w:val="22"/>
                <w:szCs w:val="22"/>
              </w:rPr>
            </w:pPr>
            <w:r>
              <w:rPr>
                <w:rFonts w:ascii="Century Gothic" w:hAnsi="Century Gothic"/>
                <w:sz w:val="22"/>
                <w:szCs w:val="22"/>
              </w:rPr>
              <w:t>Provide inspecting offices with necessary data in the field</w:t>
            </w:r>
          </w:p>
        </w:tc>
      </w:tr>
      <w:tr w:rsidTr="00F14060">
        <w:tblPrEx>
          <w:tblW w:w="0" w:type="auto"/>
          <w:tblLook w:val="04A0"/>
        </w:tblPrEx>
        <w:tc>
          <w:tcPr>
            <w:tcW w:w="4814" w:type="dxa"/>
          </w:tcPr>
          <w:p w:rsidR="002F6EEE" w:rsidP="002F6EEE">
            <w:pPr>
              <w:jc w:val="both"/>
              <w:rPr>
                <w:rFonts w:ascii="Century Gothic" w:hAnsi="Century Gothic" w:cs="Arial"/>
                <w:b w:val="0"/>
                <w:color w:val="000000"/>
              </w:rPr>
            </w:pPr>
            <w:r>
              <w:rPr>
                <w:rFonts w:ascii="Century Gothic" w:hAnsi="Century Gothic" w:cs="Arial"/>
                <w:b w:val="0"/>
                <w:color w:val="000000"/>
              </w:rPr>
              <w:t>IDOX Licensing</w:t>
            </w:r>
          </w:p>
        </w:tc>
        <w:tc>
          <w:tcPr>
            <w:tcW w:w="4814" w:type="dxa"/>
          </w:tcPr>
          <w:p w:rsidR="002F6EEE" w:rsidP="008B7648">
            <w:pPr>
              <w:pStyle w:val="Default"/>
              <w:numPr>
                <w:ilvl w:val="0"/>
                <w:numId w:val="28"/>
              </w:numPr>
              <w:jc w:val="both"/>
              <w:rPr>
                <w:rFonts w:ascii="Century Gothic" w:hAnsi="Century Gothic"/>
                <w:sz w:val="22"/>
                <w:szCs w:val="22"/>
              </w:rPr>
            </w:pPr>
            <w:r>
              <w:rPr>
                <w:rFonts w:ascii="Century Gothic" w:hAnsi="Century Gothic"/>
                <w:sz w:val="22"/>
                <w:szCs w:val="22"/>
              </w:rPr>
              <w:t>System consolidation</w:t>
            </w:r>
          </w:p>
          <w:p w:rsidR="008B7648" w:rsidP="008B7648">
            <w:pPr>
              <w:pStyle w:val="Default"/>
              <w:numPr>
                <w:ilvl w:val="0"/>
                <w:numId w:val="28"/>
              </w:numPr>
              <w:jc w:val="both"/>
              <w:rPr>
                <w:rFonts w:ascii="Century Gothic" w:hAnsi="Century Gothic"/>
                <w:sz w:val="22"/>
                <w:szCs w:val="22"/>
              </w:rPr>
            </w:pPr>
            <w:r>
              <w:rPr>
                <w:rFonts w:ascii="Century Gothic" w:hAnsi="Century Gothic"/>
                <w:sz w:val="22"/>
                <w:szCs w:val="22"/>
              </w:rPr>
              <w:t>Enabler for Public Access for Licensing and Mobile Working</w:t>
            </w:r>
          </w:p>
          <w:p w:rsidR="008B7648" w:rsidP="008B7648">
            <w:pPr>
              <w:pStyle w:val="Default"/>
              <w:numPr>
                <w:ilvl w:val="0"/>
                <w:numId w:val="28"/>
              </w:numPr>
              <w:jc w:val="both"/>
              <w:rPr>
                <w:rFonts w:ascii="Century Gothic" w:hAnsi="Century Gothic"/>
                <w:sz w:val="22"/>
                <w:szCs w:val="22"/>
              </w:rPr>
            </w:pPr>
            <w:r>
              <w:rPr>
                <w:rFonts w:ascii="Century Gothic" w:hAnsi="Century Gothic"/>
                <w:sz w:val="22"/>
                <w:szCs w:val="22"/>
              </w:rPr>
              <w:t>Reduction of the number of logins required to users to access online portals</w:t>
            </w:r>
          </w:p>
        </w:tc>
      </w:tr>
      <w:tr w:rsidTr="00F14060">
        <w:tblPrEx>
          <w:tblW w:w="0" w:type="auto"/>
          <w:tblLook w:val="04A0"/>
        </w:tblPrEx>
        <w:tc>
          <w:tcPr>
            <w:tcW w:w="4814" w:type="dxa"/>
          </w:tcPr>
          <w:p w:rsidR="00B80BA3" w:rsidRPr="00B80BA3" w:rsidP="002F6EEE">
            <w:pPr>
              <w:jc w:val="both"/>
              <w:rPr>
                <w:rFonts w:ascii="Century Gothic" w:hAnsi="Century Gothic" w:cs="Arial"/>
                <w:b w:val="0"/>
                <w:color w:val="000000"/>
              </w:rPr>
            </w:pPr>
            <w:r w:rsidRPr="00B80BA3">
              <w:rPr>
                <w:rFonts w:ascii="Century Gothic" w:hAnsi="Century Gothic" w:cs="Arial"/>
                <w:b w:val="0"/>
                <w:color w:val="000000"/>
              </w:rPr>
              <w:t>IDOX Data Management Tool</w:t>
            </w:r>
          </w:p>
        </w:tc>
        <w:tc>
          <w:tcPr>
            <w:tcW w:w="4814" w:type="dxa"/>
          </w:tcPr>
          <w:p w:rsidR="00B80BA3" w:rsidP="008B7648">
            <w:pPr>
              <w:pStyle w:val="Default"/>
              <w:numPr>
                <w:ilvl w:val="0"/>
                <w:numId w:val="28"/>
              </w:numPr>
              <w:jc w:val="both"/>
              <w:rPr>
                <w:rFonts w:ascii="Century Gothic" w:hAnsi="Century Gothic"/>
                <w:sz w:val="22"/>
                <w:szCs w:val="22"/>
              </w:rPr>
            </w:pPr>
            <w:r>
              <w:rPr>
                <w:rFonts w:ascii="Century Gothic" w:hAnsi="Century Gothic"/>
                <w:sz w:val="22"/>
                <w:szCs w:val="22"/>
              </w:rPr>
              <w:t>Ensure GDPR and Data Protection Compliance</w:t>
            </w:r>
          </w:p>
        </w:tc>
      </w:tr>
      <w:tr w:rsidTr="00F14060">
        <w:tblPrEx>
          <w:tblW w:w="0" w:type="auto"/>
          <w:tblLook w:val="04A0"/>
        </w:tblPrEx>
        <w:tc>
          <w:tcPr>
            <w:tcW w:w="4814" w:type="dxa"/>
          </w:tcPr>
          <w:p w:rsidR="00176EE8" w:rsidRPr="006A096F" w:rsidP="002F6EEE">
            <w:pPr>
              <w:jc w:val="both"/>
              <w:rPr>
                <w:rFonts w:ascii="Century Gothic" w:hAnsi="Century Gothic" w:cs="Arial"/>
                <w:b w:val="0"/>
                <w:color w:val="000000"/>
              </w:rPr>
            </w:pPr>
            <w:r w:rsidRPr="006A096F">
              <w:rPr>
                <w:rFonts w:ascii="Century Gothic" w:hAnsi="Century Gothic" w:cs="Arial"/>
                <w:b w:val="0"/>
                <w:color w:val="000000"/>
              </w:rPr>
              <w:t>IDOX API (Application Programmable Interface)</w:t>
            </w:r>
          </w:p>
        </w:tc>
        <w:tc>
          <w:tcPr>
            <w:tcW w:w="4814" w:type="dxa"/>
          </w:tcPr>
          <w:p w:rsidR="00176EE8" w:rsidP="008B7648">
            <w:pPr>
              <w:pStyle w:val="Default"/>
              <w:numPr>
                <w:ilvl w:val="0"/>
                <w:numId w:val="28"/>
              </w:numPr>
              <w:jc w:val="both"/>
              <w:rPr>
                <w:rFonts w:ascii="Century Gothic" w:hAnsi="Century Gothic"/>
                <w:sz w:val="22"/>
                <w:szCs w:val="22"/>
              </w:rPr>
            </w:pPr>
            <w:r>
              <w:rPr>
                <w:rFonts w:ascii="Century Gothic" w:hAnsi="Century Gothic"/>
                <w:sz w:val="22"/>
                <w:szCs w:val="22"/>
              </w:rPr>
              <w:t xml:space="preserve">Provide an interface to interact with other council systems including the Firmstep CRM and provide </w:t>
            </w:r>
            <w:r w:rsidR="007D10BD">
              <w:rPr>
                <w:rFonts w:ascii="Century Gothic" w:hAnsi="Century Gothic"/>
                <w:sz w:val="22"/>
                <w:szCs w:val="22"/>
              </w:rPr>
              <w:t>automation facilities to increase efficiency within appropriate departments and services</w:t>
            </w:r>
          </w:p>
        </w:tc>
      </w:tr>
    </w:tbl>
    <w:p w:rsidR="00F14060">
      <w:pPr>
        <w:jc w:val="both"/>
        <w:rPr>
          <w:rFonts w:ascii="Century Gothic" w:eastAsia="Times New Roman" w:hAnsi="Century Gothic" w:cs="Times New Roman"/>
          <w:b/>
          <w:color w:val="auto"/>
          <w:sz w:val="24"/>
        </w:rPr>
      </w:pPr>
    </w:p>
    <w:p w:rsidR="00F14060">
      <w:pPr>
        <w:jc w:val="both"/>
        <w:rPr>
          <w:rFonts w:ascii="Century Gothic" w:eastAsia="Times New Roman" w:hAnsi="Century Gothic" w:cs="Times New Roman"/>
          <w:b/>
          <w:color w:val="auto"/>
          <w:sz w:val="32"/>
        </w:rPr>
      </w:pPr>
      <w:r>
        <w:rPr>
          <w:rFonts w:ascii="Century Gothic" w:eastAsia="Times New Roman" w:hAnsi="Century Gothic" w:cs="Times New Roman"/>
          <w:b/>
          <w:color w:val="auto"/>
          <w:sz w:val="32"/>
        </w:rPr>
        <w:t xml:space="preserve">Project milestones </w:t>
      </w:r>
    </w:p>
    <w:p w:rsidR="00F14060">
      <w:pPr>
        <w:jc w:val="both"/>
        <w:rPr>
          <w:rFonts w:ascii="Century Gothic" w:eastAsia="Times New Roman" w:hAnsi="Century Gothic" w:cs="Times New Roman"/>
          <w:color w:val="auto"/>
        </w:rPr>
      </w:pPr>
      <w:r>
        <w:rPr>
          <w:rFonts w:ascii="Century Gothic" w:eastAsia="Times New Roman" w:hAnsi="Century Gothic" w:cs="Arial"/>
          <w:color w:val="auto"/>
        </w:rPr>
        <w:br/>
        <w:t>The key milestones and completion dates will be:</w:t>
      </w:r>
    </w:p>
    <w:p w:rsidR="00F14060">
      <w:pPr>
        <w:jc w:val="both"/>
        <w:rPr>
          <w:rFonts w:ascii="Century Gothic" w:eastAsia="Times New Roman" w:hAnsi="Century Gothic" w:cs="Times New Roman"/>
          <w:color w:val="auto"/>
        </w:rPr>
      </w:pPr>
    </w:p>
    <w:tbl>
      <w:tblPr>
        <w:tblStyle w:val="TableGrid4"/>
        <w:tblW w:w="9526" w:type="dxa"/>
        <w:tblInd w:w="108" w:type="dxa"/>
        <w:tblLook w:val="04A0"/>
      </w:tblPr>
      <w:tblGrid>
        <w:gridCol w:w="7400"/>
        <w:gridCol w:w="2126"/>
      </w:tblGrid>
      <w:tr>
        <w:tblPrEx>
          <w:tblW w:w="9526" w:type="dxa"/>
          <w:tblInd w:w="108" w:type="dxa"/>
          <w:tblLook w:val="04A0"/>
        </w:tblPrEx>
        <w:tc>
          <w:tcPr>
            <w:tcW w:w="7400" w:type="dxa"/>
            <w:shd w:val="clear" w:color="auto" w:fill="D9D9D9" w:themeFill="background1" w:themeFillShade="D9"/>
          </w:tcPr>
          <w:p w:rsidR="00F14060">
            <w:pPr>
              <w:jc w:val="both"/>
              <w:rPr>
                <w:rFonts w:ascii="Century Gothic" w:hAnsi="Century Gothic"/>
                <w:b/>
                <w:sz w:val="22"/>
              </w:rPr>
            </w:pPr>
          </w:p>
          <w:p w:rsidR="00F14060">
            <w:pPr>
              <w:jc w:val="both"/>
              <w:rPr>
                <w:rFonts w:ascii="Century Gothic" w:hAnsi="Century Gothic"/>
                <w:b/>
                <w:sz w:val="22"/>
              </w:rPr>
            </w:pPr>
            <w:r>
              <w:rPr>
                <w:rFonts w:ascii="Century Gothic" w:hAnsi="Century Gothic"/>
                <w:b/>
                <w:sz w:val="22"/>
              </w:rPr>
              <w:t>Milestone</w:t>
            </w:r>
          </w:p>
        </w:tc>
        <w:tc>
          <w:tcPr>
            <w:tcW w:w="2126" w:type="dxa"/>
            <w:shd w:val="clear" w:color="auto" w:fill="D9D9D9" w:themeFill="background1" w:themeFillShade="D9"/>
          </w:tcPr>
          <w:p w:rsidR="00F14060">
            <w:pPr>
              <w:jc w:val="both"/>
              <w:rPr>
                <w:rFonts w:ascii="Century Gothic" w:hAnsi="Century Gothic"/>
                <w:b/>
                <w:sz w:val="22"/>
              </w:rPr>
            </w:pPr>
          </w:p>
          <w:p w:rsidR="00F14060">
            <w:pPr>
              <w:jc w:val="both"/>
              <w:rPr>
                <w:rFonts w:ascii="Century Gothic" w:hAnsi="Century Gothic"/>
                <w:b/>
                <w:sz w:val="22"/>
              </w:rPr>
            </w:pPr>
            <w:r>
              <w:rPr>
                <w:rFonts w:ascii="Century Gothic" w:hAnsi="Century Gothic"/>
                <w:b/>
                <w:sz w:val="22"/>
              </w:rPr>
              <w:t>Completion date</w:t>
            </w:r>
          </w:p>
          <w:p w:rsidR="00F14060">
            <w:pPr>
              <w:jc w:val="both"/>
              <w:rPr>
                <w:rFonts w:ascii="Century Gothic" w:hAnsi="Century Gothic"/>
                <w:b/>
                <w:sz w:val="22"/>
              </w:rPr>
            </w:pPr>
          </w:p>
        </w:tc>
      </w:tr>
      <w:tr w:rsidTr="00D069C2">
        <w:tblPrEx>
          <w:tblW w:w="9526" w:type="dxa"/>
          <w:tblInd w:w="108" w:type="dxa"/>
          <w:tblLook w:val="04A0"/>
        </w:tblPrEx>
        <w:tc>
          <w:tcPr>
            <w:tcW w:w="7400" w:type="dxa"/>
            <w:shd w:val="clear" w:color="auto" w:fill="auto"/>
          </w:tcPr>
          <w:p w:rsidR="00D069C2" w:rsidRPr="00D069C2">
            <w:pPr>
              <w:jc w:val="both"/>
              <w:rPr>
                <w:rFonts w:ascii="Century Gothic" w:hAnsi="Century Gothic"/>
              </w:rPr>
            </w:pPr>
            <w:r w:rsidRPr="00A80FAF">
              <w:rPr>
                <w:rFonts w:ascii="Century Gothic" w:hAnsi="Century Gothic"/>
                <w:sz w:val="22"/>
              </w:rPr>
              <w:t>EDRMS Installation &amp; Configuration</w:t>
            </w:r>
          </w:p>
        </w:tc>
        <w:tc>
          <w:tcPr>
            <w:tcW w:w="2126" w:type="dxa"/>
            <w:shd w:val="clear" w:color="auto" w:fill="auto"/>
          </w:tcPr>
          <w:p w:rsidR="00D069C2" w:rsidRPr="00D069C2">
            <w:pPr>
              <w:jc w:val="both"/>
              <w:rPr>
                <w:rFonts w:ascii="Century Gothic" w:hAnsi="Century Gothic"/>
              </w:rPr>
            </w:pPr>
            <w:r w:rsidRPr="00A80FAF">
              <w:rPr>
                <w:rFonts w:ascii="Century Gothic" w:hAnsi="Century Gothic"/>
                <w:sz w:val="22"/>
              </w:rPr>
              <w:t>December 2019 – April 2020 (Rollout for all departments)</w:t>
            </w:r>
          </w:p>
        </w:tc>
      </w:tr>
      <w:tr>
        <w:tblPrEx>
          <w:tblW w:w="9526" w:type="dxa"/>
          <w:tblInd w:w="108" w:type="dxa"/>
          <w:tblLook w:val="04A0"/>
        </w:tblPrEx>
        <w:tc>
          <w:tcPr>
            <w:tcW w:w="7400" w:type="dxa"/>
          </w:tcPr>
          <w:p w:rsidR="00F14060">
            <w:pPr>
              <w:jc w:val="both"/>
              <w:rPr>
                <w:rFonts w:ascii="Century Gothic" w:hAnsi="Century Gothic"/>
                <w:sz w:val="22"/>
                <w:szCs w:val="22"/>
              </w:rPr>
            </w:pPr>
            <w:r>
              <w:rPr>
                <w:rFonts w:ascii="Century Gothic" w:hAnsi="Century Gothic"/>
                <w:sz w:val="22"/>
                <w:szCs w:val="22"/>
              </w:rPr>
              <w:t>Current System Health Check</w:t>
            </w:r>
          </w:p>
        </w:tc>
        <w:tc>
          <w:tcPr>
            <w:tcW w:w="2126" w:type="dxa"/>
          </w:tcPr>
          <w:p w:rsidR="00F14060">
            <w:pPr>
              <w:jc w:val="both"/>
              <w:rPr>
                <w:rFonts w:ascii="Century Gothic" w:hAnsi="Century Gothic"/>
                <w:sz w:val="22"/>
                <w:szCs w:val="22"/>
              </w:rPr>
            </w:pPr>
            <w:r>
              <w:rPr>
                <w:rFonts w:ascii="Century Gothic" w:hAnsi="Century Gothic"/>
                <w:sz w:val="22"/>
                <w:szCs w:val="22"/>
              </w:rPr>
              <w:t>January 2020</w:t>
            </w:r>
          </w:p>
        </w:tc>
      </w:tr>
      <w:tr>
        <w:tblPrEx>
          <w:tblW w:w="9526" w:type="dxa"/>
          <w:tblInd w:w="108" w:type="dxa"/>
          <w:tblLook w:val="04A0"/>
        </w:tblPrEx>
        <w:tc>
          <w:tcPr>
            <w:tcW w:w="7400" w:type="dxa"/>
          </w:tcPr>
          <w:p w:rsidR="003668B0">
            <w:pPr>
              <w:jc w:val="both"/>
              <w:rPr>
                <w:rFonts w:ascii="Century Gothic" w:hAnsi="Century Gothic"/>
              </w:rPr>
            </w:pPr>
            <w:r>
              <w:rPr>
                <w:rFonts w:ascii="Century Gothic" w:hAnsi="Century Gothic"/>
              </w:rPr>
              <w:t>IDOX Data Management Tool Configuration</w:t>
            </w:r>
          </w:p>
        </w:tc>
        <w:tc>
          <w:tcPr>
            <w:tcW w:w="2126" w:type="dxa"/>
          </w:tcPr>
          <w:p w:rsidR="003668B0">
            <w:pPr>
              <w:jc w:val="both"/>
              <w:rPr>
                <w:rFonts w:ascii="Century Gothic" w:hAnsi="Century Gothic"/>
              </w:rPr>
            </w:pPr>
            <w:r>
              <w:rPr>
                <w:rFonts w:ascii="Century Gothic" w:hAnsi="Century Gothic"/>
              </w:rPr>
              <w:t>February 2020</w:t>
            </w:r>
          </w:p>
        </w:tc>
      </w:tr>
      <w:tr>
        <w:tblPrEx>
          <w:tblW w:w="9526" w:type="dxa"/>
          <w:tblInd w:w="108" w:type="dxa"/>
          <w:tblLook w:val="04A0"/>
        </w:tblPrEx>
        <w:tc>
          <w:tcPr>
            <w:tcW w:w="7400" w:type="dxa"/>
          </w:tcPr>
          <w:p w:rsidR="00F14060">
            <w:pPr>
              <w:jc w:val="both"/>
              <w:rPr>
                <w:rFonts w:ascii="Century Gothic" w:hAnsi="Century Gothic"/>
                <w:sz w:val="22"/>
                <w:szCs w:val="22"/>
              </w:rPr>
            </w:pPr>
            <w:r>
              <w:rPr>
                <w:rFonts w:ascii="Century Gothic" w:hAnsi="Century Gothic"/>
                <w:sz w:val="22"/>
                <w:szCs w:val="22"/>
              </w:rPr>
              <w:t>Assemble Project Team and backfill posts if applicable</w:t>
            </w:r>
          </w:p>
        </w:tc>
        <w:tc>
          <w:tcPr>
            <w:tcW w:w="2126" w:type="dxa"/>
          </w:tcPr>
          <w:p w:rsidR="00F14060">
            <w:pPr>
              <w:jc w:val="both"/>
              <w:rPr>
                <w:rFonts w:ascii="Century Gothic" w:hAnsi="Century Gothic"/>
                <w:sz w:val="22"/>
                <w:szCs w:val="22"/>
              </w:rPr>
            </w:pPr>
            <w:r>
              <w:rPr>
                <w:rFonts w:ascii="Century Gothic" w:hAnsi="Century Gothic"/>
                <w:sz w:val="22"/>
                <w:szCs w:val="22"/>
              </w:rPr>
              <w:t>March 2020</w:t>
            </w:r>
          </w:p>
        </w:tc>
      </w:tr>
      <w:tr>
        <w:tblPrEx>
          <w:tblW w:w="9526" w:type="dxa"/>
          <w:tblInd w:w="108" w:type="dxa"/>
          <w:tblLook w:val="04A0"/>
        </w:tblPrEx>
        <w:tc>
          <w:tcPr>
            <w:tcW w:w="7400" w:type="dxa"/>
          </w:tcPr>
          <w:p w:rsidR="00F14060">
            <w:pPr>
              <w:jc w:val="both"/>
              <w:rPr>
                <w:rFonts w:ascii="Century Gothic" w:hAnsi="Century Gothic"/>
                <w:sz w:val="22"/>
                <w:szCs w:val="22"/>
              </w:rPr>
            </w:pPr>
            <w:r>
              <w:rPr>
                <w:rFonts w:ascii="Century Gothic" w:hAnsi="Century Gothic"/>
                <w:sz w:val="22"/>
                <w:szCs w:val="22"/>
              </w:rPr>
              <w:t>Process map areas highlighted in Health Check</w:t>
            </w:r>
          </w:p>
        </w:tc>
        <w:tc>
          <w:tcPr>
            <w:tcW w:w="2126" w:type="dxa"/>
          </w:tcPr>
          <w:p w:rsidR="00F14060">
            <w:pPr>
              <w:jc w:val="both"/>
              <w:rPr>
                <w:rFonts w:ascii="Century Gothic" w:hAnsi="Century Gothic"/>
                <w:sz w:val="22"/>
                <w:szCs w:val="22"/>
              </w:rPr>
            </w:pPr>
            <w:r>
              <w:rPr>
                <w:rFonts w:ascii="Century Gothic" w:hAnsi="Century Gothic"/>
                <w:sz w:val="22"/>
                <w:szCs w:val="22"/>
              </w:rPr>
              <w:t>March 2020</w:t>
            </w:r>
          </w:p>
        </w:tc>
      </w:tr>
      <w:tr>
        <w:tblPrEx>
          <w:tblW w:w="9526" w:type="dxa"/>
          <w:tblInd w:w="108" w:type="dxa"/>
          <w:tblLook w:val="04A0"/>
        </w:tblPrEx>
        <w:tc>
          <w:tcPr>
            <w:tcW w:w="7400" w:type="dxa"/>
          </w:tcPr>
          <w:p w:rsidR="00F14060">
            <w:pPr>
              <w:jc w:val="both"/>
              <w:rPr>
                <w:rFonts w:ascii="Century Gothic" w:hAnsi="Century Gothic"/>
                <w:sz w:val="22"/>
                <w:szCs w:val="22"/>
              </w:rPr>
            </w:pPr>
            <w:r>
              <w:rPr>
                <w:rFonts w:ascii="Century Gothic" w:hAnsi="Century Gothic"/>
                <w:sz w:val="22"/>
                <w:szCs w:val="22"/>
              </w:rPr>
              <w:t>Transfer Licensing department to IDOX</w:t>
            </w:r>
          </w:p>
        </w:tc>
        <w:tc>
          <w:tcPr>
            <w:tcW w:w="2126" w:type="dxa"/>
          </w:tcPr>
          <w:p w:rsidR="00F14060">
            <w:pPr>
              <w:jc w:val="both"/>
              <w:rPr>
                <w:rFonts w:ascii="Century Gothic" w:hAnsi="Century Gothic"/>
                <w:sz w:val="22"/>
                <w:szCs w:val="22"/>
              </w:rPr>
            </w:pPr>
            <w:r>
              <w:rPr>
                <w:rFonts w:ascii="Century Gothic" w:hAnsi="Century Gothic"/>
                <w:sz w:val="22"/>
                <w:szCs w:val="22"/>
              </w:rPr>
              <w:t>March – June (Including data migration)</w:t>
            </w:r>
          </w:p>
        </w:tc>
      </w:tr>
      <w:tr>
        <w:tblPrEx>
          <w:tblW w:w="9526" w:type="dxa"/>
          <w:tblInd w:w="108" w:type="dxa"/>
          <w:tblLook w:val="04A0"/>
        </w:tblPrEx>
        <w:tc>
          <w:tcPr>
            <w:tcW w:w="7400" w:type="dxa"/>
          </w:tcPr>
          <w:p w:rsidR="00D069C2">
            <w:pPr>
              <w:jc w:val="both"/>
              <w:rPr>
                <w:rFonts w:ascii="Century Gothic" w:hAnsi="Century Gothic"/>
              </w:rPr>
            </w:pPr>
            <w:r>
              <w:rPr>
                <w:rFonts w:ascii="Century Gothic" w:hAnsi="Century Gothic"/>
              </w:rPr>
              <w:t>IDOX Mobile Application Rollout</w:t>
            </w:r>
          </w:p>
        </w:tc>
        <w:tc>
          <w:tcPr>
            <w:tcW w:w="2126" w:type="dxa"/>
          </w:tcPr>
          <w:p w:rsidR="00D069C2">
            <w:pPr>
              <w:jc w:val="both"/>
              <w:rPr>
                <w:rFonts w:ascii="Century Gothic" w:hAnsi="Century Gothic"/>
              </w:rPr>
            </w:pPr>
            <w:r>
              <w:rPr>
                <w:rFonts w:ascii="Century Gothic" w:hAnsi="Century Gothic"/>
              </w:rPr>
              <w:t>April 2020</w:t>
            </w:r>
          </w:p>
        </w:tc>
      </w:tr>
      <w:tr w:rsidTr="00D069C2">
        <w:tblPrEx>
          <w:tblW w:w="9526" w:type="dxa"/>
          <w:tblInd w:w="108" w:type="dxa"/>
          <w:tblLook w:val="04A0"/>
        </w:tblPrEx>
        <w:tc>
          <w:tcPr>
            <w:tcW w:w="7400" w:type="dxa"/>
            <w:shd w:val="clear" w:color="auto" w:fill="D9D9D9" w:themeFill="background1" w:themeFillShade="D9"/>
          </w:tcPr>
          <w:p w:rsidR="00D069C2">
            <w:pPr>
              <w:jc w:val="both"/>
              <w:rPr>
                <w:rFonts w:ascii="Century Gothic" w:hAnsi="Century Gothic"/>
                <w:b/>
              </w:rPr>
            </w:pPr>
          </w:p>
          <w:p w:rsidR="00D069C2">
            <w:pPr>
              <w:jc w:val="both"/>
              <w:rPr>
                <w:rFonts w:ascii="Century Gothic" w:hAnsi="Century Gothic"/>
                <w:b/>
              </w:rPr>
            </w:pPr>
            <w:r>
              <w:rPr>
                <w:rFonts w:ascii="Century Gothic" w:hAnsi="Century Gothic"/>
                <w:b/>
              </w:rPr>
              <w:t>IDOX Enterprise</w:t>
            </w:r>
          </w:p>
          <w:p w:rsidR="00D069C2" w:rsidRPr="00D069C2">
            <w:pPr>
              <w:jc w:val="both"/>
              <w:rPr>
                <w:rFonts w:ascii="Century Gothic" w:hAnsi="Century Gothic"/>
                <w:b/>
              </w:rPr>
            </w:pPr>
          </w:p>
        </w:tc>
        <w:tc>
          <w:tcPr>
            <w:tcW w:w="2126" w:type="dxa"/>
            <w:shd w:val="clear" w:color="auto" w:fill="D9D9D9" w:themeFill="background1" w:themeFillShade="D9"/>
          </w:tcPr>
          <w:p w:rsidR="00D069C2">
            <w:pPr>
              <w:jc w:val="both"/>
              <w:rPr>
                <w:rFonts w:ascii="Century Gothic" w:hAnsi="Century Gothic"/>
              </w:rPr>
            </w:pPr>
          </w:p>
        </w:tc>
      </w:tr>
      <w:tr>
        <w:tblPrEx>
          <w:tblW w:w="9526" w:type="dxa"/>
          <w:tblInd w:w="108" w:type="dxa"/>
          <w:tblLook w:val="04A0"/>
        </w:tblPrEx>
        <w:tc>
          <w:tcPr>
            <w:tcW w:w="7400" w:type="dxa"/>
          </w:tcPr>
          <w:p w:rsidR="00F14060">
            <w:pPr>
              <w:jc w:val="both"/>
              <w:rPr>
                <w:rFonts w:ascii="Century Gothic" w:hAnsi="Century Gothic" w:cs="Arial"/>
                <w:color w:val="000000"/>
                <w:sz w:val="22"/>
                <w:szCs w:val="22"/>
              </w:rPr>
            </w:pPr>
            <w:r>
              <w:rPr>
                <w:rFonts w:ascii="Century Gothic" w:hAnsi="Century Gothic" w:cs="Arial"/>
                <w:color w:val="000000"/>
                <w:sz w:val="22"/>
                <w:szCs w:val="22"/>
              </w:rPr>
              <w:t>Planning (including Enforcement, Appeals, TPOs)</w:t>
            </w:r>
          </w:p>
        </w:tc>
        <w:tc>
          <w:tcPr>
            <w:tcW w:w="2126" w:type="dxa"/>
          </w:tcPr>
          <w:p w:rsidR="00F14060">
            <w:pPr>
              <w:jc w:val="both"/>
              <w:rPr>
                <w:rFonts w:ascii="Century Gothic" w:hAnsi="Century Gothic"/>
                <w:sz w:val="22"/>
                <w:szCs w:val="22"/>
              </w:rPr>
            </w:pPr>
            <w:r>
              <w:rPr>
                <w:rFonts w:ascii="Century Gothic" w:hAnsi="Century Gothic"/>
                <w:sz w:val="22"/>
                <w:szCs w:val="22"/>
              </w:rPr>
              <w:t>July 2020</w:t>
            </w:r>
          </w:p>
        </w:tc>
      </w:tr>
      <w:tr>
        <w:tblPrEx>
          <w:tblW w:w="9526" w:type="dxa"/>
          <w:tblInd w:w="108" w:type="dxa"/>
          <w:tblLook w:val="04A0"/>
        </w:tblPrEx>
        <w:tc>
          <w:tcPr>
            <w:tcW w:w="7400" w:type="dxa"/>
          </w:tcPr>
          <w:p w:rsidR="00F14060">
            <w:pPr>
              <w:jc w:val="both"/>
              <w:rPr>
                <w:rFonts w:ascii="Century Gothic" w:hAnsi="Century Gothic" w:cs="Arial"/>
                <w:color w:val="000000"/>
                <w:sz w:val="22"/>
                <w:szCs w:val="22"/>
              </w:rPr>
            </w:pPr>
            <w:r>
              <w:rPr>
                <w:rFonts w:ascii="Century Gothic" w:hAnsi="Century Gothic" w:cs="Arial"/>
                <w:color w:val="000000"/>
                <w:sz w:val="22"/>
                <w:szCs w:val="22"/>
              </w:rPr>
              <w:t>Building control (including Dangerous Structures and Reports)</w:t>
            </w:r>
          </w:p>
        </w:tc>
        <w:tc>
          <w:tcPr>
            <w:tcW w:w="2126" w:type="dxa"/>
          </w:tcPr>
          <w:p w:rsidR="00F14060">
            <w:pPr>
              <w:jc w:val="both"/>
              <w:rPr>
                <w:rFonts w:ascii="Century Gothic" w:hAnsi="Century Gothic"/>
                <w:sz w:val="22"/>
                <w:szCs w:val="22"/>
              </w:rPr>
            </w:pPr>
            <w:r>
              <w:rPr>
                <w:rFonts w:ascii="Century Gothic" w:hAnsi="Century Gothic"/>
                <w:sz w:val="22"/>
                <w:szCs w:val="22"/>
              </w:rPr>
              <w:t>September 2020</w:t>
            </w:r>
          </w:p>
        </w:tc>
      </w:tr>
      <w:tr>
        <w:tblPrEx>
          <w:tblW w:w="9526" w:type="dxa"/>
          <w:tblInd w:w="108" w:type="dxa"/>
          <w:tblLook w:val="04A0"/>
        </w:tblPrEx>
        <w:tc>
          <w:tcPr>
            <w:tcW w:w="7400" w:type="dxa"/>
          </w:tcPr>
          <w:p w:rsidR="00F14060">
            <w:pPr>
              <w:autoSpaceDE w:val="0"/>
              <w:autoSpaceDN w:val="0"/>
              <w:adjustRightInd w:val="0"/>
              <w:rPr>
                <w:rFonts w:ascii="Century Gothic" w:hAnsi="Century Gothic" w:cs="Arial"/>
                <w:color w:val="000000"/>
                <w:sz w:val="22"/>
                <w:szCs w:val="22"/>
              </w:rPr>
            </w:pPr>
            <w:r>
              <w:rPr>
                <w:rFonts w:ascii="Century Gothic" w:hAnsi="Century Gothic" w:cs="Arial"/>
                <w:color w:val="000000"/>
                <w:sz w:val="22"/>
                <w:szCs w:val="22"/>
              </w:rPr>
              <w:t>Asset Management</w:t>
            </w:r>
          </w:p>
        </w:tc>
        <w:tc>
          <w:tcPr>
            <w:tcW w:w="2126" w:type="dxa"/>
          </w:tcPr>
          <w:p w:rsidR="00F14060">
            <w:pPr>
              <w:jc w:val="both"/>
              <w:rPr>
                <w:rFonts w:ascii="Century Gothic" w:hAnsi="Century Gothic"/>
                <w:sz w:val="22"/>
                <w:szCs w:val="22"/>
              </w:rPr>
            </w:pPr>
            <w:r>
              <w:rPr>
                <w:rFonts w:ascii="Century Gothic" w:hAnsi="Century Gothic"/>
                <w:sz w:val="22"/>
                <w:szCs w:val="22"/>
              </w:rPr>
              <w:t>December 2020</w:t>
            </w:r>
          </w:p>
        </w:tc>
      </w:tr>
      <w:tr>
        <w:tblPrEx>
          <w:tblW w:w="9526" w:type="dxa"/>
          <w:tblInd w:w="108" w:type="dxa"/>
          <w:tblLook w:val="04A0"/>
        </w:tblPrEx>
        <w:tc>
          <w:tcPr>
            <w:tcW w:w="7400" w:type="dxa"/>
          </w:tcPr>
          <w:p w:rsidR="00F14060">
            <w:pPr>
              <w:jc w:val="both"/>
              <w:rPr>
                <w:rFonts w:ascii="Century Gothic" w:hAnsi="Century Gothic" w:cs="Arial"/>
                <w:color w:val="000000"/>
                <w:sz w:val="22"/>
                <w:szCs w:val="22"/>
              </w:rPr>
            </w:pPr>
            <w:r>
              <w:rPr>
                <w:rFonts w:ascii="Century Gothic" w:hAnsi="Century Gothic" w:cs="Arial"/>
                <w:color w:val="000000"/>
                <w:sz w:val="22"/>
                <w:szCs w:val="22"/>
              </w:rPr>
              <w:t>Environmental Health</w:t>
            </w:r>
          </w:p>
        </w:tc>
        <w:tc>
          <w:tcPr>
            <w:tcW w:w="2126" w:type="dxa"/>
          </w:tcPr>
          <w:p w:rsidR="00F14060">
            <w:pPr>
              <w:jc w:val="both"/>
              <w:rPr>
                <w:rFonts w:ascii="Century Gothic" w:hAnsi="Century Gothic"/>
                <w:sz w:val="22"/>
                <w:szCs w:val="22"/>
              </w:rPr>
            </w:pPr>
            <w:r>
              <w:rPr>
                <w:rFonts w:ascii="Century Gothic" w:hAnsi="Century Gothic"/>
                <w:sz w:val="22"/>
                <w:szCs w:val="22"/>
              </w:rPr>
              <w:t>January 2021</w:t>
            </w:r>
          </w:p>
        </w:tc>
      </w:tr>
    </w:tbl>
    <w:p w:rsidR="00F14060">
      <w:pPr>
        <w:jc w:val="both"/>
        <w:rPr>
          <w:rFonts w:ascii="Century Gothic" w:eastAsia="Times New Roman" w:hAnsi="Century Gothic" w:cs="Times New Roman"/>
          <w:color w:val="auto"/>
        </w:rPr>
      </w:pPr>
    </w:p>
    <w:p w:rsidR="00F14060">
      <w:pPr>
        <w:keepNext/>
        <w:spacing w:before="240" w:after="60"/>
        <w:jc w:val="both"/>
        <w:outlineLvl w:val="1"/>
        <w:rPr>
          <w:rFonts w:ascii="Century Gothic" w:eastAsia="Times New Roman" w:hAnsi="Century Gothic" w:cs="Arial"/>
          <w:b/>
          <w:bCs/>
          <w:iCs/>
          <w:color w:val="auto"/>
          <w:sz w:val="32"/>
          <w:szCs w:val="20"/>
        </w:rPr>
      </w:pPr>
      <w:r>
        <w:rPr>
          <w:rFonts w:ascii="Century Gothic" w:eastAsia="Times New Roman" w:hAnsi="Century Gothic" w:cs="Arial"/>
          <w:b/>
          <w:bCs/>
          <w:iCs/>
          <w:color w:val="auto"/>
          <w:sz w:val="32"/>
          <w:szCs w:val="20"/>
        </w:rPr>
        <w:t>Dependencies</w:t>
      </w:r>
    </w:p>
    <w:p w:rsidR="00F14060">
      <w:pPr>
        <w:keepNext/>
        <w:spacing w:after="60"/>
        <w:jc w:val="both"/>
        <w:outlineLvl w:val="1"/>
        <w:rPr>
          <w:rFonts w:ascii="Century Gothic" w:hAnsi="Century Gothic" w:cs="ArialMT"/>
        </w:rPr>
      </w:pPr>
    </w:p>
    <w:p w:rsidR="009F5638">
      <w:pPr>
        <w:keepNext/>
        <w:spacing w:after="60"/>
        <w:jc w:val="both"/>
        <w:outlineLvl w:val="1"/>
        <w:rPr>
          <w:rFonts w:ascii="Century Gothic" w:eastAsia="Times New Roman" w:hAnsi="Century Gothic" w:cs="Arial"/>
          <w:bCs/>
          <w:iCs/>
          <w:color w:val="auto"/>
          <w:szCs w:val="20"/>
        </w:rPr>
      </w:pPr>
      <w:r w:rsidRPr="004B14E5">
        <w:rPr>
          <w:rFonts w:ascii="Century Gothic" w:eastAsia="Times New Roman" w:hAnsi="Century Gothic" w:cs="Arial"/>
          <w:bCs/>
          <w:iCs/>
          <w:color w:val="auto"/>
          <w:szCs w:val="20"/>
        </w:rPr>
        <w:t xml:space="preserve">There are no recognised dependent projects that will impact this work, however this project will deliver benefits that have been identified within other </w:t>
      </w:r>
      <w:r w:rsidR="00CE4F14">
        <w:rPr>
          <w:rFonts w:ascii="Century Gothic" w:eastAsia="Times New Roman" w:hAnsi="Century Gothic" w:cs="Arial"/>
          <w:bCs/>
          <w:iCs/>
          <w:color w:val="auto"/>
          <w:szCs w:val="20"/>
        </w:rPr>
        <w:t>projects</w:t>
      </w:r>
      <w:r w:rsidRPr="004B14E5">
        <w:rPr>
          <w:rFonts w:ascii="Century Gothic" w:eastAsia="Times New Roman" w:hAnsi="Century Gothic" w:cs="Arial"/>
          <w:bCs/>
          <w:iCs/>
          <w:color w:val="auto"/>
          <w:szCs w:val="20"/>
        </w:rPr>
        <w:t>. For example</w:t>
      </w:r>
      <w:r w:rsidR="00CE4F14">
        <w:rPr>
          <w:rFonts w:ascii="Century Gothic" w:eastAsia="Times New Roman" w:hAnsi="Century Gothic" w:cs="Arial"/>
          <w:bCs/>
          <w:iCs/>
          <w:color w:val="auto"/>
          <w:szCs w:val="20"/>
        </w:rPr>
        <w:t xml:space="preserve">, </w:t>
      </w:r>
      <w:r w:rsidRPr="004B14E5">
        <w:rPr>
          <w:rFonts w:ascii="Century Gothic" w:eastAsia="Times New Roman" w:hAnsi="Century Gothic" w:cs="Arial"/>
          <w:bCs/>
          <w:iCs/>
          <w:color w:val="auto"/>
          <w:szCs w:val="20"/>
        </w:rPr>
        <w:t>the Digital to Improve Programme recognises agile working and customer experience as key contributors to underpin the success of the programme. IDOX EDRMS and IDOX Public Access will consolidate the number of online portals available to residents and improve access to key data.  IDOX Mobile applications will also enable agile working for services which have historically been restricted due to lack of available technology.</w:t>
      </w:r>
    </w:p>
    <w:p w:rsidR="009F5638" w:rsidP="009F5638">
      <w:pPr>
        <w:keepNext/>
        <w:spacing w:before="240" w:after="60"/>
        <w:jc w:val="both"/>
        <w:outlineLvl w:val="1"/>
        <w:rPr>
          <w:rFonts w:ascii="Century Gothic" w:eastAsia="Times New Roman" w:hAnsi="Century Gothic" w:cs="Arial"/>
          <w:b/>
          <w:bCs/>
          <w:iCs/>
          <w:color w:val="auto"/>
          <w:sz w:val="32"/>
          <w:szCs w:val="20"/>
        </w:rPr>
      </w:pPr>
      <w:r>
        <w:rPr>
          <w:rFonts w:ascii="Century Gothic" w:eastAsia="Times New Roman" w:hAnsi="Century Gothic" w:cs="Arial"/>
          <w:b/>
          <w:bCs/>
          <w:iCs/>
          <w:color w:val="auto"/>
          <w:sz w:val="32"/>
          <w:szCs w:val="20"/>
        </w:rPr>
        <w:t>Shared Services Considerations</w:t>
      </w:r>
    </w:p>
    <w:p w:rsidR="009F5638" w:rsidP="009F5638">
      <w:pPr>
        <w:keepNext/>
        <w:spacing w:after="60"/>
        <w:jc w:val="both"/>
        <w:outlineLvl w:val="1"/>
        <w:rPr>
          <w:rFonts w:ascii="Century Gothic" w:hAnsi="Century Gothic" w:cs="ArialMT"/>
        </w:rPr>
      </w:pPr>
    </w:p>
    <w:p w:rsidR="0025166A" w:rsidP="0025166A">
      <w:pPr>
        <w:spacing w:after="60"/>
        <w:jc w:val="both"/>
        <w:outlineLvl w:val="1"/>
        <w:rPr>
          <w:rFonts w:ascii="Century Gothic" w:eastAsia="Times New Roman" w:hAnsi="Century Gothic" w:cs="Arial"/>
          <w:bCs/>
          <w:iCs/>
          <w:color w:val="auto"/>
          <w:szCs w:val="20"/>
        </w:rPr>
      </w:pPr>
      <w:r>
        <w:rPr>
          <w:rFonts w:ascii="Century Gothic" w:eastAsia="Times New Roman" w:hAnsi="Century Gothic" w:cs="Arial"/>
          <w:bCs/>
          <w:iCs/>
          <w:color w:val="auto"/>
          <w:szCs w:val="20"/>
        </w:rPr>
        <w:t xml:space="preserve">Whilst this project is being </w:t>
      </w:r>
      <w:r w:rsidR="00F17A60">
        <w:rPr>
          <w:rFonts w:ascii="Century Gothic" w:eastAsia="Times New Roman" w:hAnsi="Century Gothic" w:cs="Arial"/>
          <w:bCs/>
          <w:iCs/>
          <w:color w:val="auto"/>
          <w:szCs w:val="20"/>
        </w:rPr>
        <w:t xml:space="preserve">undertaken by South </w:t>
      </w:r>
      <w:r w:rsidR="00F17A60">
        <w:rPr>
          <w:rFonts w:ascii="Century Gothic" w:eastAsia="Times New Roman" w:hAnsi="Century Gothic" w:cs="Arial"/>
          <w:bCs/>
          <w:iCs/>
          <w:color w:val="auto"/>
          <w:szCs w:val="20"/>
        </w:rPr>
        <w:t>Ribble</w:t>
      </w:r>
      <w:r w:rsidR="00F17A60">
        <w:rPr>
          <w:rFonts w:ascii="Century Gothic" w:eastAsia="Times New Roman" w:hAnsi="Century Gothic" w:cs="Arial"/>
          <w:bCs/>
          <w:iCs/>
          <w:color w:val="auto"/>
          <w:szCs w:val="20"/>
        </w:rPr>
        <w:t xml:space="preserve"> only, </w:t>
      </w:r>
      <w:r w:rsidR="00DA1E5B">
        <w:rPr>
          <w:rFonts w:ascii="Century Gothic" w:eastAsia="Times New Roman" w:hAnsi="Century Gothic" w:cs="Arial"/>
          <w:bCs/>
          <w:iCs/>
          <w:color w:val="auto"/>
          <w:szCs w:val="20"/>
        </w:rPr>
        <w:t xml:space="preserve">Chorley have already implemented IDOX Enterprise and IDOX EDRMS, and are a user of IDOX Licensing and Public </w:t>
      </w:r>
    </w:p>
    <w:p w:rsidR="0025166A" w:rsidP="0025166A">
      <w:pPr>
        <w:spacing w:after="60"/>
        <w:jc w:val="both"/>
        <w:outlineLvl w:val="1"/>
        <w:rPr>
          <w:rFonts w:ascii="Century Gothic" w:eastAsia="Times New Roman" w:hAnsi="Century Gothic" w:cs="Arial"/>
          <w:bCs/>
          <w:iCs/>
          <w:color w:val="auto"/>
          <w:szCs w:val="20"/>
        </w:rPr>
      </w:pPr>
    </w:p>
    <w:p w:rsidR="009F5638" w:rsidP="0025166A">
      <w:pPr>
        <w:spacing w:after="60"/>
        <w:jc w:val="both"/>
        <w:outlineLvl w:val="1"/>
        <w:rPr>
          <w:rFonts w:ascii="Century Gothic" w:eastAsia="Times New Roman" w:hAnsi="Century Gothic" w:cs="Arial"/>
          <w:bCs/>
          <w:iCs/>
          <w:color w:val="auto"/>
          <w:szCs w:val="20"/>
        </w:rPr>
      </w:pPr>
      <w:r>
        <w:rPr>
          <w:rFonts w:ascii="Century Gothic" w:eastAsia="Times New Roman" w:hAnsi="Century Gothic" w:cs="Arial"/>
          <w:bCs/>
          <w:iCs/>
          <w:color w:val="auto"/>
          <w:szCs w:val="20"/>
        </w:rPr>
        <w:t xml:space="preserve">Access for Licensing. This project will further align the systems between both councils acting as an enabler for any future shared services. </w:t>
      </w:r>
    </w:p>
    <w:p w:rsidR="00DA1E5B" w:rsidP="009F5638">
      <w:pPr>
        <w:keepNext/>
        <w:spacing w:after="60"/>
        <w:jc w:val="both"/>
        <w:outlineLvl w:val="1"/>
        <w:rPr>
          <w:rFonts w:ascii="Century Gothic" w:eastAsia="Times New Roman" w:hAnsi="Century Gothic" w:cs="Arial"/>
          <w:bCs/>
          <w:iCs/>
          <w:color w:val="auto"/>
          <w:szCs w:val="20"/>
        </w:rPr>
      </w:pPr>
    </w:p>
    <w:p w:rsidR="00DA1E5B" w:rsidRPr="004B14E5" w:rsidP="0025166A">
      <w:pPr>
        <w:spacing w:after="60"/>
        <w:jc w:val="both"/>
        <w:outlineLvl w:val="1"/>
        <w:rPr>
          <w:rFonts w:ascii="Century Gothic" w:eastAsia="Times New Roman" w:hAnsi="Century Gothic" w:cs="Arial"/>
          <w:bCs/>
          <w:iCs/>
          <w:color w:val="auto"/>
          <w:szCs w:val="20"/>
        </w:rPr>
      </w:pPr>
      <w:r>
        <w:rPr>
          <w:rFonts w:ascii="Century Gothic" w:eastAsia="Times New Roman" w:hAnsi="Century Gothic" w:cs="Arial"/>
          <w:bCs/>
          <w:iCs/>
          <w:color w:val="auto"/>
          <w:szCs w:val="20"/>
        </w:rPr>
        <w:t>Utilising Public Access for Licensing and IDOX EDRMS will also ensure that residents and businesses are familiar with the same systems between authorities providing benefits as the shared CMS project is delivered.</w:t>
      </w:r>
    </w:p>
    <w:p w:rsidR="00F14060">
      <w:pPr>
        <w:keepNext/>
        <w:spacing w:before="240" w:after="60"/>
        <w:jc w:val="both"/>
        <w:outlineLvl w:val="1"/>
        <w:rPr>
          <w:rFonts w:ascii="Century Gothic" w:eastAsia="Times New Roman" w:hAnsi="Century Gothic" w:cs="Arial"/>
          <w:b/>
          <w:bCs/>
          <w:iCs/>
          <w:color w:val="auto"/>
          <w:sz w:val="32"/>
          <w:szCs w:val="20"/>
        </w:rPr>
      </w:pPr>
      <w:r>
        <w:rPr>
          <w:rFonts w:ascii="Century Gothic" w:eastAsia="Times New Roman" w:hAnsi="Century Gothic" w:cs="Arial"/>
          <w:b/>
          <w:bCs/>
          <w:iCs/>
          <w:color w:val="auto"/>
          <w:sz w:val="32"/>
          <w:szCs w:val="20"/>
        </w:rPr>
        <w:t>Cost / Benefit Analysis</w:t>
      </w:r>
    </w:p>
    <w:p w:rsidR="000458CA" w:rsidP="000458CA">
      <w:pPr>
        <w:autoSpaceDE w:val="0"/>
        <w:autoSpaceDN w:val="0"/>
        <w:adjustRightInd w:val="0"/>
        <w:rPr>
          <w:rFonts w:ascii="Century Gothic" w:hAnsi="Century Gothic" w:cs="ArialMT"/>
        </w:rPr>
      </w:pPr>
      <w:r>
        <w:rPr>
          <w:rFonts w:ascii="Century Gothic" w:hAnsi="Century Gothic" w:cs="ArialMT"/>
        </w:rPr>
        <w:t>There are cost</w:t>
      </w:r>
      <w:r w:rsidR="00F17A60">
        <w:rPr>
          <w:rFonts w:ascii="Century Gothic" w:hAnsi="Century Gothic" w:cs="ArialMT"/>
        </w:rPr>
        <w:t xml:space="preserve">s associated with this project, however they will be on </w:t>
      </w:r>
      <w:r w:rsidR="00F17A60">
        <w:rPr>
          <w:rFonts w:ascii="Century Gothic" w:hAnsi="Century Gothic" w:cs="ArialMT"/>
        </w:rPr>
        <w:t>an invest</w:t>
      </w:r>
      <w:r w:rsidR="00F17A60">
        <w:rPr>
          <w:rFonts w:ascii="Century Gothic" w:hAnsi="Century Gothic" w:cs="ArialMT"/>
        </w:rPr>
        <w:t xml:space="preserve"> to improve basis, or an invest to save basis. As each of the </w:t>
      </w:r>
      <w:r w:rsidR="00DA1E5B">
        <w:rPr>
          <w:rFonts w:ascii="Century Gothic" w:hAnsi="Century Gothic" w:cs="ArialMT"/>
        </w:rPr>
        <w:t>three</w:t>
      </w:r>
      <w:r w:rsidR="00F17A60">
        <w:rPr>
          <w:rFonts w:ascii="Century Gothic" w:hAnsi="Century Gothic" w:cs="ArialMT"/>
        </w:rPr>
        <w:t xml:space="preserve"> project strands below can be implemented </w:t>
      </w:r>
      <w:r w:rsidR="00DA1E5B">
        <w:rPr>
          <w:rFonts w:ascii="Century Gothic" w:hAnsi="Century Gothic" w:cs="ArialMT"/>
        </w:rPr>
        <w:t>independently, costs have been separated to allow easier analysis:</w:t>
      </w:r>
    </w:p>
    <w:p w:rsidR="00F40BCE" w:rsidP="000458CA">
      <w:pPr>
        <w:autoSpaceDE w:val="0"/>
        <w:autoSpaceDN w:val="0"/>
        <w:adjustRightInd w:val="0"/>
        <w:rPr>
          <w:rFonts w:ascii="Century Gothic" w:hAnsi="Century Gothic" w:cs="ArialMT"/>
        </w:rPr>
      </w:pPr>
    </w:p>
    <w:p w:rsidR="00F40BCE" w:rsidRPr="00F40BCE" w:rsidP="00F40BCE">
      <w:pPr>
        <w:autoSpaceDE w:val="0"/>
        <w:autoSpaceDN w:val="0"/>
        <w:adjustRightInd w:val="0"/>
        <w:rPr>
          <w:rFonts w:ascii="Century Gothic" w:hAnsi="Century Gothic" w:cs="ArialMT"/>
          <w:b/>
        </w:rPr>
      </w:pPr>
      <w:r w:rsidRPr="00F40BCE">
        <w:rPr>
          <w:rFonts w:ascii="Century Gothic" w:hAnsi="Century Gothic" w:cs="ArialMT"/>
          <w:b/>
        </w:rPr>
        <w:t>IDOX Health Check</w:t>
      </w:r>
    </w:p>
    <w:p w:rsidR="00F40BCE" w:rsidP="000458CA">
      <w:pPr>
        <w:autoSpaceDE w:val="0"/>
        <w:autoSpaceDN w:val="0"/>
        <w:adjustRightInd w:val="0"/>
        <w:rPr>
          <w:rFonts w:ascii="Century Gothic" w:hAnsi="Century Gothic" w:cs="ArialMT"/>
        </w:rPr>
      </w:pPr>
      <w:r>
        <w:rPr>
          <w:rFonts w:ascii="Century Gothic" w:hAnsi="Century Gothic" w:cs="ArialMT"/>
        </w:rPr>
        <w:t>The IDOX Health Check would utilise consultancy by IDOX to review our current use of the system to compare both process and system functionality against best practice. The Health Check would also include consultation with key users and provide a written report detailing findings, recommendations for improvement and implementation suggestions. Each core module would require 2 consultancy days at £950 per day plus an additional 1.5 days project management. In Total £9,025 would be required to review all core modules.</w:t>
      </w:r>
      <w:r w:rsidR="007D10BD">
        <w:rPr>
          <w:rFonts w:ascii="Century Gothic" w:hAnsi="Century Gothic" w:cs="ArialMT"/>
        </w:rPr>
        <w:t xml:space="preserve"> The Health Check will also be used as an enabler to baseline any pre-requisites required to implement the other stages of the project.</w:t>
      </w:r>
    </w:p>
    <w:p w:rsidR="00B84C25" w:rsidP="000458CA">
      <w:pPr>
        <w:autoSpaceDE w:val="0"/>
        <w:autoSpaceDN w:val="0"/>
        <w:adjustRightInd w:val="0"/>
        <w:rPr>
          <w:rFonts w:ascii="Century Gothic" w:hAnsi="Century Gothic" w:cs="ArialMT"/>
        </w:rPr>
      </w:pPr>
    </w:p>
    <w:p w:rsidR="00B84C25" w:rsidRPr="00F40BCE" w:rsidP="000458CA">
      <w:pPr>
        <w:autoSpaceDE w:val="0"/>
        <w:autoSpaceDN w:val="0"/>
        <w:adjustRightInd w:val="0"/>
        <w:rPr>
          <w:rFonts w:ascii="Century Gothic" w:hAnsi="Century Gothic" w:cs="ArialMT"/>
        </w:rPr>
      </w:pPr>
      <w:r>
        <w:rPr>
          <w:rFonts w:ascii="Century Gothic" w:hAnsi="Century Gothic" w:cs="ArialMT"/>
        </w:rPr>
        <w:t xml:space="preserve">The benefit of completing this health check prior to commencing the roll out of Enterprise is critical in assessing the current position, ensuring that the Foundations (i.e. all modules) are good before building the metaphoric “house”.  Any </w:t>
      </w:r>
      <w:r w:rsidR="001503B4">
        <w:rPr>
          <w:rFonts w:ascii="Century Gothic" w:hAnsi="Century Gothic" w:cs="ArialMT"/>
        </w:rPr>
        <w:t>priority</w:t>
      </w:r>
      <w:r>
        <w:rPr>
          <w:rFonts w:ascii="Century Gothic" w:hAnsi="Century Gothic" w:cs="ArialMT"/>
        </w:rPr>
        <w:t xml:space="preserve"> remediation work should be performed </w:t>
      </w:r>
      <w:r w:rsidR="001503B4">
        <w:rPr>
          <w:rFonts w:ascii="Century Gothic" w:hAnsi="Century Gothic" w:cs="ArialMT"/>
        </w:rPr>
        <w:t xml:space="preserve">relevant to the distinct modules prior to </w:t>
      </w:r>
      <w:r w:rsidR="00247207">
        <w:rPr>
          <w:rFonts w:ascii="Century Gothic" w:hAnsi="Century Gothic" w:cs="ArialMT"/>
        </w:rPr>
        <w:t>the introduction of IDOX Enterprise</w:t>
      </w:r>
      <w:r w:rsidR="001503B4">
        <w:rPr>
          <w:rFonts w:ascii="Century Gothic" w:hAnsi="Century Gothic" w:cs="ArialMT"/>
        </w:rPr>
        <w:t>.</w:t>
      </w:r>
      <w:r w:rsidR="007D10BD">
        <w:rPr>
          <w:rFonts w:ascii="Century Gothic" w:hAnsi="Century Gothic" w:cs="ArialMT"/>
        </w:rPr>
        <w:t xml:space="preserve"> </w:t>
      </w:r>
      <w:r w:rsidR="001503B4">
        <w:rPr>
          <w:rFonts w:ascii="Century Gothic" w:hAnsi="Century Gothic" w:cs="ArialMT"/>
        </w:rPr>
        <w:t xml:space="preserve">  Implementing new systems </w:t>
      </w:r>
      <w:r w:rsidR="000C2B6D">
        <w:rPr>
          <w:rFonts w:ascii="Century Gothic" w:hAnsi="Century Gothic" w:cs="ArialMT"/>
        </w:rPr>
        <w:t>is an opportunity for transformation, and as a result ensuring that legacy hang-ups do not impair functionality is critical.</w:t>
      </w:r>
    </w:p>
    <w:p w:rsidR="000458CA" w:rsidP="000458CA">
      <w:pPr>
        <w:autoSpaceDE w:val="0"/>
        <w:autoSpaceDN w:val="0"/>
        <w:adjustRightInd w:val="0"/>
        <w:rPr>
          <w:rFonts w:ascii="Century Gothic" w:hAnsi="Century Gothic" w:cs="ArialMT"/>
          <w:b/>
        </w:rPr>
      </w:pPr>
    </w:p>
    <w:p w:rsidR="00DA1E5B" w:rsidRPr="0025166A" w:rsidP="0025166A">
      <w:pPr>
        <w:rPr>
          <w:rFonts w:ascii="Century Gothic" w:hAnsi="Century Gothic" w:cs="ArialMT"/>
          <w:b/>
        </w:rPr>
      </w:pPr>
      <w:r>
        <w:rPr>
          <w:rFonts w:ascii="Century Gothic" w:hAnsi="Century Gothic" w:cs="ArialMT"/>
          <w:b/>
        </w:rPr>
        <w:t>IDOX Enterprise</w:t>
      </w:r>
    </w:p>
    <w:p w:rsidR="00A44BFA" w:rsidP="000458CA">
      <w:pPr>
        <w:autoSpaceDE w:val="0"/>
        <w:autoSpaceDN w:val="0"/>
        <w:adjustRightInd w:val="0"/>
        <w:rPr>
          <w:rFonts w:ascii="Century Gothic" w:hAnsi="Century Gothic" w:cs="ArialMT"/>
        </w:rPr>
      </w:pPr>
    </w:p>
    <w:p w:rsidR="00A44BFA" w:rsidP="000458CA">
      <w:pPr>
        <w:autoSpaceDE w:val="0"/>
        <w:autoSpaceDN w:val="0"/>
        <w:adjustRightInd w:val="0"/>
        <w:rPr>
          <w:rFonts w:ascii="Century Gothic" w:hAnsi="Century Gothic" w:cs="ArialMT"/>
        </w:rPr>
      </w:pPr>
      <w:r>
        <w:rPr>
          <w:rFonts w:ascii="Century Gothic" w:hAnsi="Century Gothic" w:cs="ArialMT"/>
        </w:rPr>
        <w:t>The introduction of IDOX Enterprise w</w:t>
      </w:r>
      <w:r w:rsidR="001D28D9">
        <w:rPr>
          <w:rFonts w:ascii="Century Gothic" w:hAnsi="Century Gothic" w:cs="ArialMT"/>
        </w:rPr>
        <w:t>ill have associated costs of £26,7</w:t>
      </w:r>
      <w:r>
        <w:rPr>
          <w:rFonts w:ascii="Century Gothic" w:hAnsi="Century Gothic" w:cs="ArialMT"/>
        </w:rPr>
        <w:t xml:space="preserve">25 as an initial investment, </w:t>
      </w:r>
      <w:r w:rsidR="001D28D9">
        <w:rPr>
          <w:rFonts w:ascii="Century Gothic" w:hAnsi="Century Gothic" w:cs="ArialMT"/>
        </w:rPr>
        <w:t>followed by annual maintenance of £2,800 per annum. Initial investment costs will include software licences, associated services and training.</w:t>
      </w:r>
    </w:p>
    <w:p w:rsidR="001D28D9" w:rsidP="000458CA">
      <w:pPr>
        <w:autoSpaceDE w:val="0"/>
        <w:autoSpaceDN w:val="0"/>
        <w:adjustRightInd w:val="0"/>
        <w:rPr>
          <w:rFonts w:ascii="Century Gothic" w:hAnsi="Century Gothic" w:cs="ArialMT"/>
        </w:rPr>
      </w:pPr>
    </w:p>
    <w:p w:rsidR="001D28D9" w:rsidRPr="005F6E61" w:rsidP="005F6E61">
      <w:pPr>
        <w:spacing w:after="60"/>
        <w:outlineLvl w:val="1"/>
        <w:rPr>
          <w:rFonts w:ascii="Century Gothic" w:hAnsi="Century Gothic" w:cs="Arial"/>
          <w:bCs/>
          <w:iCs/>
          <w:color w:val="auto"/>
          <w:sz w:val="24"/>
          <w:szCs w:val="24"/>
        </w:rPr>
      </w:pPr>
      <w:r>
        <w:rPr>
          <w:rFonts w:ascii="Century Gothic" w:hAnsi="Century Gothic" w:cs="ArialMT"/>
        </w:rPr>
        <w:t>Whilst not baselined it is expected that efficiencies will be delivered in terms of time taken to process cases and the reduced need for manual routing of cases, which will be determined by the workflow.</w:t>
      </w:r>
      <w:r w:rsidR="00247207">
        <w:rPr>
          <w:rFonts w:ascii="Century Gothic" w:hAnsi="Century Gothic" w:cs="ArialMT"/>
        </w:rPr>
        <w:t xml:space="preserve"> A benefits realisation study has taken place which has revealed the following benefits achieved by other local authorities using IDOX Enterprise</w:t>
      </w:r>
      <w:r w:rsidR="006A096F">
        <w:rPr>
          <w:rFonts w:ascii="Century Gothic" w:hAnsi="Century Gothic" w:cs="ArialMT"/>
        </w:rPr>
        <w:t xml:space="preserve"> (as well as other IDOX Uniform modules)</w:t>
      </w:r>
      <w:r w:rsidR="005F6E61">
        <w:rPr>
          <w:rFonts w:ascii="Century Gothic" w:hAnsi="Century Gothic" w:cs="ArialMT"/>
        </w:rPr>
        <w:t xml:space="preserve">. </w:t>
      </w:r>
      <w:r w:rsidRPr="000420D5" w:rsidR="005F6E61">
        <w:rPr>
          <w:rFonts w:ascii="Century Gothic" w:hAnsi="Century Gothic" w:cs="Arial"/>
          <w:bCs/>
          <w:iCs/>
          <w:color w:val="auto"/>
          <w:sz w:val="24"/>
          <w:szCs w:val="24"/>
        </w:rPr>
        <w:t xml:space="preserve">The North Yorkshire Building Control Partnership chose IDOX Uniform as their core back office </w:t>
      </w:r>
      <w:r w:rsidRPr="0077486A" w:rsidR="005F6E61">
        <w:rPr>
          <w:rFonts w:ascii="Century Gothic" w:hAnsi="Century Gothic" w:cs="Arial"/>
          <w:bCs/>
          <w:iCs/>
          <w:color w:val="auto"/>
          <w:sz w:val="24"/>
          <w:szCs w:val="24"/>
        </w:rPr>
        <w:t xml:space="preserve">system following a merger of 5 local authority building control services, </w:t>
      </w:r>
      <w:r w:rsidRPr="0077486A" w:rsidR="005F6E61">
        <w:rPr>
          <w:rFonts w:ascii="Century Gothic" w:hAnsi="Century Gothic" w:cs="Arial"/>
          <w:bCs/>
          <w:iCs/>
          <w:sz w:val="24"/>
          <w:szCs w:val="24"/>
        </w:rPr>
        <w:t>the merger along with the implementation of IDOX Enterprise enabled the below efficiencies</w:t>
      </w:r>
      <w:r w:rsidRPr="0077486A" w:rsidR="005F6E61">
        <w:rPr>
          <w:rFonts w:ascii="Century Gothic" w:hAnsi="Century Gothic" w:cs="Arial"/>
          <w:bCs/>
          <w:iCs/>
          <w:color w:val="auto"/>
          <w:sz w:val="24"/>
          <w:szCs w:val="24"/>
        </w:rPr>
        <w:t>:</w:t>
      </w:r>
    </w:p>
    <w:p w:rsidR="00247207" w:rsidP="000458CA">
      <w:pPr>
        <w:autoSpaceDE w:val="0"/>
        <w:autoSpaceDN w:val="0"/>
        <w:adjustRightInd w:val="0"/>
        <w:rPr>
          <w:rFonts w:ascii="Century Gothic" w:hAnsi="Century Gothic" w:cs="ArialMT"/>
        </w:rPr>
      </w:pPr>
    </w:p>
    <w:p w:rsidR="00247207" w:rsidP="00247207">
      <w:pPr>
        <w:pStyle w:val="ListParagraph"/>
        <w:numPr>
          <w:ilvl w:val="0"/>
          <w:numId w:val="35"/>
        </w:numPr>
        <w:spacing w:after="60"/>
        <w:outlineLvl w:val="1"/>
        <w:rPr>
          <w:rFonts w:ascii="Century Gothic" w:eastAsia="Times New Roman" w:hAnsi="Century Gothic" w:cs="Arial"/>
          <w:bCs/>
          <w:iCs/>
          <w:color w:val="auto"/>
          <w:sz w:val="24"/>
        </w:rPr>
      </w:pPr>
      <w:r>
        <w:rPr>
          <w:rFonts w:ascii="Century Gothic" w:eastAsia="Times New Roman" w:hAnsi="Century Gothic" w:cs="Arial"/>
          <w:bCs/>
          <w:iCs/>
          <w:color w:val="auto"/>
          <w:sz w:val="24"/>
        </w:rPr>
        <w:t>55% of applications received electronically</w:t>
      </w:r>
    </w:p>
    <w:p w:rsidR="00247207" w:rsidP="00247207">
      <w:pPr>
        <w:pStyle w:val="ListParagraph"/>
        <w:numPr>
          <w:ilvl w:val="0"/>
          <w:numId w:val="35"/>
        </w:numPr>
        <w:spacing w:after="60"/>
        <w:outlineLvl w:val="1"/>
        <w:rPr>
          <w:rFonts w:ascii="Century Gothic" w:eastAsia="Times New Roman" w:hAnsi="Century Gothic" w:cs="Arial"/>
          <w:bCs/>
          <w:iCs/>
          <w:color w:val="auto"/>
          <w:sz w:val="24"/>
        </w:rPr>
      </w:pPr>
      <w:r>
        <w:rPr>
          <w:rFonts w:ascii="Century Gothic" w:eastAsia="Times New Roman" w:hAnsi="Century Gothic" w:cs="Arial"/>
          <w:bCs/>
          <w:iCs/>
          <w:color w:val="auto"/>
          <w:sz w:val="24"/>
        </w:rPr>
        <w:t>£7,000 per annum saved on printing and postage</w:t>
      </w:r>
    </w:p>
    <w:p w:rsidR="00247207" w:rsidP="00247207">
      <w:pPr>
        <w:pStyle w:val="ListParagraph"/>
        <w:numPr>
          <w:ilvl w:val="0"/>
          <w:numId w:val="35"/>
        </w:numPr>
        <w:spacing w:after="60"/>
        <w:outlineLvl w:val="1"/>
        <w:rPr>
          <w:rFonts w:ascii="Century Gothic" w:eastAsia="Times New Roman" w:hAnsi="Century Gothic" w:cs="Arial"/>
          <w:bCs/>
          <w:iCs/>
          <w:color w:val="auto"/>
          <w:sz w:val="24"/>
        </w:rPr>
      </w:pPr>
      <w:r>
        <w:rPr>
          <w:rFonts w:ascii="Century Gothic" w:eastAsia="Times New Roman" w:hAnsi="Century Gothic" w:cs="Arial"/>
          <w:bCs/>
          <w:iCs/>
          <w:color w:val="auto"/>
          <w:sz w:val="24"/>
        </w:rPr>
        <w:t>93% completion certificates issued within 5 working days (up from 78%)</w:t>
      </w:r>
    </w:p>
    <w:p w:rsidR="00247207" w:rsidP="00247207">
      <w:pPr>
        <w:pStyle w:val="ListParagraph"/>
        <w:numPr>
          <w:ilvl w:val="0"/>
          <w:numId w:val="35"/>
        </w:numPr>
        <w:spacing w:after="60"/>
        <w:outlineLvl w:val="1"/>
        <w:rPr>
          <w:rFonts w:ascii="Century Gothic" w:eastAsia="Times New Roman" w:hAnsi="Century Gothic" w:cs="Arial"/>
          <w:bCs/>
          <w:iCs/>
          <w:color w:val="auto"/>
          <w:sz w:val="24"/>
        </w:rPr>
      </w:pPr>
      <w:r>
        <w:rPr>
          <w:rFonts w:ascii="Century Gothic" w:eastAsia="Times New Roman" w:hAnsi="Century Gothic" w:cs="Arial"/>
          <w:bCs/>
          <w:iCs/>
          <w:color w:val="auto"/>
          <w:sz w:val="24"/>
        </w:rPr>
        <w:t>Positive environmental impact due to officers no longer needing to visit the office to access the IDOX system</w:t>
      </w:r>
    </w:p>
    <w:p w:rsidR="00247207" w:rsidP="00C0386D">
      <w:pPr>
        <w:pStyle w:val="ListParagraph"/>
        <w:spacing w:after="60"/>
        <w:outlineLvl w:val="1"/>
        <w:rPr>
          <w:rFonts w:ascii="Century Gothic" w:eastAsia="Times New Roman" w:hAnsi="Century Gothic" w:cs="Arial"/>
          <w:bCs/>
          <w:iCs/>
          <w:color w:val="auto"/>
          <w:sz w:val="24"/>
        </w:rPr>
      </w:pPr>
    </w:p>
    <w:p w:rsidR="00247207" w:rsidRPr="009860F4" w:rsidP="00247207">
      <w:pPr>
        <w:spacing w:after="60"/>
        <w:outlineLvl w:val="1"/>
        <w:rPr>
          <w:rFonts w:ascii="Century Gothic" w:eastAsia="Times New Roman" w:hAnsi="Century Gothic" w:cs="Arial"/>
          <w:bCs/>
          <w:iCs/>
          <w:color w:val="auto"/>
          <w:sz w:val="24"/>
        </w:rPr>
      </w:pPr>
      <w:r>
        <w:rPr>
          <w:rFonts w:ascii="Century Gothic" w:eastAsia="Times New Roman" w:hAnsi="Century Gothic" w:cs="Arial"/>
          <w:bCs/>
          <w:iCs/>
          <w:color w:val="auto"/>
          <w:sz w:val="24"/>
        </w:rPr>
        <w:t>Lincolnshire Building Control also saw an efficiency saving of approximately 170 hours per month on administration which was now automated as part of the IDOX Enterprise function.</w:t>
      </w:r>
    </w:p>
    <w:p w:rsidR="00247207" w:rsidP="000458CA">
      <w:pPr>
        <w:autoSpaceDE w:val="0"/>
        <w:autoSpaceDN w:val="0"/>
        <w:adjustRightInd w:val="0"/>
        <w:rPr>
          <w:rFonts w:ascii="Century Gothic" w:hAnsi="Century Gothic" w:cs="ArialMT"/>
        </w:rPr>
      </w:pPr>
    </w:p>
    <w:p w:rsidR="00DA1E5B" w:rsidRPr="00DA1E5B" w:rsidP="000458CA">
      <w:pPr>
        <w:autoSpaceDE w:val="0"/>
        <w:autoSpaceDN w:val="0"/>
        <w:adjustRightInd w:val="0"/>
        <w:rPr>
          <w:rFonts w:ascii="Century Gothic" w:hAnsi="Century Gothic" w:cs="ArialMT"/>
        </w:rPr>
      </w:pPr>
    </w:p>
    <w:p w:rsidR="000458CA" w:rsidP="000458CA">
      <w:pPr>
        <w:autoSpaceDE w:val="0"/>
        <w:autoSpaceDN w:val="0"/>
        <w:adjustRightInd w:val="0"/>
        <w:rPr>
          <w:rFonts w:ascii="Century Gothic" w:hAnsi="Century Gothic" w:cs="ArialMT"/>
          <w:b/>
        </w:rPr>
      </w:pPr>
      <w:r>
        <w:rPr>
          <w:rFonts w:ascii="Century Gothic" w:hAnsi="Century Gothic" w:cs="ArialMT"/>
          <w:b/>
        </w:rPr>
        <w:t>IDOX EDRMS</w:t>
      </w:r>
    </w:p>
    <w:p w:rsidR="001D28D9" w:rsidRPr="0077486A" w:rsidP="000458CA">
      <w:pPr>
        <w:autoSpaceDE w:val="0"/>
        <w:autoSpaceDN w:val="0"/>
        <w:adjustRightInd w:val="0"/>
        <w:rPr>
          <w:rFonts w:ascii="Century Gothic" w:hAnsi="Century Gothic" w:cs="ArialMT"/>
          <w:b/>
        </w:rPr>
      </w:pPr>
    </w:p>
    <w:p w:rsidR="0077486A" w:rsidRPr="0077486A" w:rsidP="0077486A">
      <w:pPr>
        <w:autoSpaceDE w:val="0"/>
        <w:autoSpaceDN w:val="0"/>
        <w:adjustRightInd w:val="0"/>
        <w:rPr>
          <w:rFonts w:ascii="Century Gothic" w:hAnsi="Century Gothic" w:cs="Arial"/>
          <w:sz w:val="24"/>
          <w:szCs w:val="24"/>
        </w:rPr>
      </w:pPr>
      <w:r w:rsidRPr="0077486A">
        <w:rPr>
          <w:rFonts w:ascii="Century Gothic" w:hAnsi="Century Gothic" w:cs="Arial"/>
          <w:sz w:val="24"/>
          <w:szCs w:val="24"/>
        </w:rPr>
        <w:t>During the councils Public Sector Network (PSN) accreditation process in 2019, it was highlighted that the current EDRMS web portal provided by Civica is out of date and requires upgrading to provide continued PSN compliance and reduce risk to the organisation. To continue using the Civica product or upgrade to a supported version of the Civica product, capital investment in the region of £15,000 would be required and also additional revenue of £1,600pa.  If a migration to IDOX DMS for Planning was opted for there would not be a need to carry out the Civica upgrade. The costs associated with IDOX EDRMS are £63,850 as an initial investment with £4,380 annually.</w:t>
      </w:r>
    </w:p>
    <w:p w:rsidR="0077486A" w:rsidRPr="0077486A" w:rsidP="0077486A">
      <w:pPr>
        <w:autoSpaceDE w:val="0"/>
        <w:autoSpaceDN w:val="0"/>
        <w:adjustRightInd w:val="0"/>
        <w:rPr>
          <w:rFonts w:ascii="Century Gothic" w:hAnsi="Century Gothic" w:cs="Arial"/>
          <w:sz w:val="24"/>
          <w:szCs w:val="24"/>
        </w:rPr>
      </w:pPr>
    </w:p>
    <w:p w:rsidR="0077486A" w:rsidRPr="0077486A" w:rsidP="0077486A">
      <w:pPr>
        <w:autoSpaceDE w:val="0"/>
        <w:autoSpaceDN w:val="0"/>
        <w:adjustRightInd w:val="0"/>
        <w:rPr>
          <w:rFonts w:ascii="Century Gothic" w:hAnsi="Century Gothic" w:cs="Arial"/>
          <w:sz w:val="24"/>
          <w:szCs w:val="24"/>
        </w:rPr>
      </w:pPr>
      <w:r w:rsidRPr="0077486A">
        <w:rPr>
          <w:rFonts w:ascii="Century Gothic" w:hAnsi="Century Gothic" w:cs="Arial"/>
          <w:sz w:val="24"/>
          <w:szCs w:val="24"/>
        </w:rPr>
        <w:t>Moving to IDOX EDRMS for Planning would reveal the following business benefits:</w:t>
      </w:r>
    </w:p>
    <w:p w:rsidR="0077486A" w:rsidRPr="0077486A" w:rsidP="0077486A">
      <w:pPr>
        <w:autoSpaceDE w:val="0"/>
        <w:autoSpaceDN w:val="0"/>
        <w:adjustRightInd w:val="0"/>
        <w:rPr>
          <w:rFonts w:ascii="Century Gothic" w:hAnsi="Century Gothic" w:cs="Arial"/>
          <w:sz w:val="24"/>
          <w:szCs w:val="24"/>
        </w:rPr>
      </w:pPr>
    </w:p>
    <w:p w:rsidR="0077486A" w:rsidRPr="0077486A" w:rsidP="0077486A">
      <w:pPr>
        <w:pStyle w:val="ListParagraph"/>
        <w:numPr>
          <w:ilvl w:val="0"/>
          <w:numId w:val="28"/>
        </w:numPr>
        <w:autoSpaceDE w:val="0"/>
        <w:autoSpaceDN w:val="0"/>
        <w:adjustRightInd w:val="0"/>
        <w:ind w:left="1440"/>
        <w:rPr>
          <w:rFonts w:ascii="Century Gothic" w:hAnsi="Century Gothic" w:cs="Arial"/>
          <w:sz w:val="24"/>
          <w:szCs w:val="24"/>
        </w:rPr>
      </w:pPr>
      <w:r w:rsidRPr="0077486A">
        <w:rPr>
          <w:rFonts w:ascii="Century Gothic" w:hAnsi="Century Gothic" w:cs="Arial"/>
          <w:sz w:val="24"/>
          <w:szCs w:val="24"/>
        </w:rPr>
        <w:t xml:space="preserve">Streamlined integration and workflow with IDOX Enterprise and other IDOX modules.  </w:t>
      </w:r>
    </w:p>
    <w:p w:rsidR="0077486A" w:rsidRPr="0077486A" w:rsidP="0077486A">
      <w:pPr>
        <w:pStyle w:val="ListParagraph"/>
        <w:numPr>
          <w:ilvl w:val="0"/>
          <w:numId w:val="28"/>
        </w:numPr>
        <w:autoSpaceDE w:val="0"/>
        <w:autoSpaceDN w:val="0"/>
        <w:adjustRightInd w:val="0"/>
        <w:ind w:left="1440"/>
        <w:rPr>
          <w:rFonts w:ascii="Century Gothic" w:hAnsi="Century Gothic" w:cs="Arial"/>
          <w:sz w:val="24"/>
          <w:szCs w:val="24"/>
        </w:rPr>
      </w:pPr>
      <w:r w:rsidRPr="0077486A">
        <w:rPr>
          <w:rFonts w:ascii="Century Gothic" w:hAnsi="Century Gothic" w:cs="Arial"/>
          <w:sz w:val="24"/>
          <w:szCs w:val="24"/>
        </w:rPr>
        <w:t>Simplification of the overall landscape reducing IT management overheads.</w:t>
      </w:r>
    </w:p>
    <w:p w:rsidR="0077486A" w:rsidRPr="0077486A" w:rsidP="0077486A">
      <w:pPr>
        <w:pStyle w:val="ListParagraph"/>
        <w:numPr>
          <w:ilvl w:val="0"/>
          <w:numId w:val="28"/>
        </w:numPr>
        <w:autoSpaceDE w:val="0"/>
        <w:autoSpaceDN w:val="0"/>
        <w:adjustRightInd w:val="0"/>
        <w:ind w:left="1440"/>
        <w:rPr>
          <w:rFonts w:ascii="Century Gothic" w:hAnsi="Century Gothic" w:cs="Arial"/>
          <w:sz w:val="24"/>
          <w:szCs w:val="24"/>
        </w:rPr>
      </w:pPr>
      <w:r w:rsidRPr="0077486A">
        <w:rPr>
          <w:rFonts w:ascii="Century Gothic" w:hAnsi="Century Gothic" w:cs="Arial"/>
          <w:sz w:val="24"/>
          <w:szCs w:val="24"/>
        </w:rPr>
        <w:t>Simpler authentication and single sign-on, by being reliant on a single vendor’s systems, resulting in an improved user experience, reliability and efficiency.</w:t>
      </w:r>
    </w:p>
    <w:p w:rsidR="0077486A" w:rsidRPr="0077486A" w:rsidP="0077486A">
      <w:pPr>
        <w:pStyle w:val="ListParagraph"/>
        <w:numPr>
          <w:ilvl w:val="0"/>
          <w:numId w:val="28"/>
        </w:numPr>
        <w:autoSpaceDE w:val="0"/>
        <w:autoSpaceDN w:val="0"/>
        <w:adjustRightInd w:val="0"/>
        <w:ind w:left="1440"/>
        <w:rPr>
          <w:rFonts w:ascii="Century Gothic" w:hAnsi="Century Gothic" w:cs="Arial"/>
          <w:sz w:val="24"/>
          <w:szCs w:val="24"/>
        </w:rPr>
      </w:pPr>
      <w:r w:rsidRPr="0077486A">
        <w:rPr>
          <w:rFonts w:ascii="Century Gothic" w:hAnsi="Century Gothic" w:cs="Arial"/>
          <w:sz w:val="24"/>
          <w:szCs w:val="24"/>
        </w:rPr>
        <w:t xml:space="preserve">Support from a single vendor end-to-end for Planning resulting in improved supportability and efficiency. </w:t>
      </w:r>
    </w:p>
    <w:p w:rsidR="0077486A" w:rsidRPr="0077486A" w:rsidP="0077486A">
      <w:pPr>
        <w:autoSpaceDE w:val="0"/>
        <w:autoSpaceDN w:val="0"/>
        <w:adjustRightInd w:val="0"/>
        <w:rPr>
          <w:rFonts w:ascii="Century Gothic" w:hAnsi="Century Gothic" w:cs="Arial"/>
          <w:sz w:val="24"/>
          <w:szCs w:val="24"/>
        </w:rPr>
      </w:pPr>
    </w:p>
    <w:p w:rsidR="0077486A" w:rsidRPr="0077486A" w:rsidP="0077486A">
      <w:pPr>
        <w:autoSpaceDE w:val="0"/>
        <w:autoSpaceDN w:val="0"/>
        <w:adjustRightInd w:val="0"/>
        <w:rPr>
          <w:rFonts w:ascii="Century Gothic" w:hAnsi="Century Gothic" w:cs="Arial"/>
          <w:sz w:val="24"/>
          <w:szCs w:val="24"/>
        </w:rPr>
      </w:pPr>
      <w:r w:rsidRPr="0077486A">
        <w:rPr>
          <w:rFonts w:ascii="Century Gothic" w:hAnsi="Century Gothic" w:cs="Arial"/>
          <w:sz w:val="24"/>
          <w:szCs w:val="24"/>
        </w:rPr>
        <w:t>It should also be noted that whilst the IDOX DMS require increased revenue when compared to the existing Civica DMS solution, the proposed solution will deliver document management capabilities to all services using IDOX whilst Civica only delivers document management capabilities to planning officers.</w:t>
      </w:r>
    </w:p>
    <w:p w:rsidR="0077486A" w:rsidRPr="0077486A" w:rsidP="0077486A">
      <w:pPr>
        <w:autoSpaceDE w:val="0"/>
        <w:autoSpaceDN w:val="0"/>
        <w:adjustRightInd w:val="0"/>
        <w:rPr>
          <w:rFonts w:ascii="Century Gothic" w:hAnsi="Century Gothic" w:cs="Arial"/>
          <w:sz w:val="24"/>
          <w:szCs w:val="24"/>
        </w:rPr>
      </w:pPr>
    </w:p>
    <w:p w:rsidR="0077486A" w:rsidRPr="0077486A" w:rsidP="0077486A">
      <w:pPr>
        <w:autoSpaceDE w:val="0"/>
        <w:autoSpaceDN w:val="0"/>
        <w:adjustRightInd w:val="0"/>
        <w:rPr>
          <w:rFonts w:ascii="Century Gothic" w:hAnsi="Century Gothic" w:cs="Arial"/>
          <w:sz w:val="24"/>
          <w:szCs w:val="24"/>
        </w:rPr>
      </w:pPr>
      <w:r w:rsidRPr="0077486A">
        <w:rPr>
          <w:rFonts w:ascii="Century Gothic" w:hAnsi="Century Gothic" w:cs="Arial"/>
          <w:sz w:val="24"/>
          <w:szCs w:val="24"/>
        </w:rPr>
        <w:t>There would also be associated costs of approximately £20,000 to migrate the existing data from Civica to IDOX.</w:t>
      </w:r>
    </w:p>
    <w:p w:rsidR="00CA292D" w:rsidP="000458CA">
      <w:pPr>
        <w:autoSpaceDE w:val="0"/>
        <w:autoSpaceDN w:val="0"/>
        <w:adjustRightInd w:val="0"/>
        <w:rPr>
          <w:rFonts w:ascii="Century Gothic" w:hAnsi="Century Gothic" w:cs="ArialMT"/>
        </w:rPr>
      </w:pPr>
    </w:p>
    <w:p w:rsidR="003A3164" w:rsidP="000458CA">
      <w:pPr>
        <w:autoSpaceDE w:val="0"/>
        <w:autoSpaceDN w:val="0"/>
        <w:adjustRightInd w:val="0"/>
        <w:rPr>
          <w:rFonts w:ascii="Century Gothic" w:hAnsi="Century Gothic" w:cs="ArialMT"/>
        </w:rPr>
      </w:pPr>
    </w:p>
    <w:p w:rsidR="000458CA" w:rsidP="000458CA">
      <w:pPr>
        <w:autoSpaceDE w:val="0"/>
        <w:autoSpaceDN w:val="0"/>
        <w:adjustRightInd w:val="0"/>
        <w:rPr>
          <w:rFonts w:ascii="Century Gothic" w:hAnsi="Century Gothic" w:cs="ArialMT"/>
          <w:b/>
        </w:rPr>
      </w:pPr>
      <w:r>
        <w:rPr>
          <w:rFonts w:ascii="Century Gothic" w:hAnsi="Century Gothic" w:cs="ArialMT"/>
          <w:b/>
        </w:rPr>
        <w:t>IDOX Licensing</w:t>
      </w:r>
    </w:p>
    <w:p w:rsidR="001D28D9" w:rsidP="000458CA">
      <w:pPr>
        <w:autoSpaceDE w:val="0"/>
        <w:autoSpaceDN w:val="0"/>
        <w:adjustRightInd w:val="0"/>
        <w:rPr>
          <w:rFonts w:ascii="Century Gothic" w:hAnsi="Century Gothic" w:cs="ArialMT"/>
          <w:b/>
        </w:rPr>
      </w:pPr>
    </w:p>
    <w:p w:rsidR="0077486A" w:rsidRPr="0077486A" w:rsidP="0077486A">
      <w:pPr>
        <w:autoSpaceDE w:val="0"/>
        <w:autoSpaceDN w:val="0"/>
        <w:adjustRightInd w:val="0"/>
        <w:rPr>
          <w:rFonts w:ascii="Century Gothic" w:hAnsi="Century Gothic" w:cs="Arial"/>
          <w:sz w:val="24"/>
          <w:szCs w:val="24"/>
        </w:rPr>
      </w:pPr>
      <w:r w:rsidRPr="0077486A">
        <w:rPr>
          <w:rFonts w:ascii="Century Gothic" w:hAnsi="Century Gothic" w:cs="Arial"/>
          <w:sz w:val="24"/>
          <w:szCs w:val="24"/>
        </w:rPr>
        <w:t xml:space="preserve">The proposal included within this project is to consolidate the existing </w:t>
      </w:r>
      <w:r w:rsidRPr="0077486A">
        <w:rPr>
          <w:rFonts w:ascii="Century Gothic" w:hAnsi="Century Gothic" w:cs="Arial"/>
          <w:sz w:val="24"/>
          <w:szCs w:val="24"/>
        </w:rPr>
        <w:t>Lalpac</w:t>
      </w:r>
      <w:r w:rsidRPr="0077486A">
        <w:rPr>
          <w:rFonts w:ascii="Century Gothic" w:hAnsi="Century Gothic" w:cs="Arial"/>
          <w:sz w:val="24"/>
          <w:szCs w:val="24"/>
        </w:rPr>
        <w:t xml:space="preserve"> Licensing solution into Uniform. This will provide benefits for the licensing service by reducing manual back office functions, providing mobile and remote inspection and enforcement capabilities, as well as providing a single property view (Licensing, Environmental Health, and Planning history in one accessible location). There will also be benefits to external stakeholder by improving public access functionality and aligning this to the same look and feel as the Planning public access functionality. </w:t>
      </w:r>
    </w:p>
    <w:p w:rsidR="0077486A" w:rsidRPr="0077486A" w:rsidP="0077486A">
      <w:pPr>
        <w:autoSpaceDE w:val="0"/>
        <w:autoSpaceDN w:val="0"/>
        <w:adjustRightInd w:val="0"/>
        <w:rPr>
          <w:rFonts w:ascii="Century Gothic" w:hAnsi="Century Gothic" w:cs="Arial"/>
          <w:sz w:val="24"/>
          <w:szCs w:val="24"/>
        </w:rPr>
      </w:pPr>
    </w:p>
    <w:p w:rsidR="0077486A" w:rsidRPr="0077486A" w:rsidP="0077486A">
      <w:pPr>
        <w:autoSpaceDE w:val="0"/>
        <w:autoSpaceDN w:val="0"/>
        <w:adjustRightInd w:val="0"/>
        <w:rPr>
          <w:rFonts w:ascii="Century Gothic" w:hAnsi="Century Gothic" w:cs="Arial"/>
          <w:sz w:val="24"/>
          <w:szCs w:val="24"/>
        </w:rPr>
      </w:pPr>
      <w:r w:rsidRPr="0077486A">
        <w:rPr>
          <w:rFonts w:ascii="Century Gothic" w:hAnsi="Century Gothic" w:cs="Arial"/>
          <w:sz w:val="24"/>
          <w:szCs w:val="24"/>
        </w:rPr>
        <w:t xml:space="preserve">The costs associated with this consolidation require an initial investment of £37,800 plus an annual cost of £16,543. This would be offset by a removal of the annual charge of £16,543 currently provisioned for the </w:t>
      </w:r>
      <w:r w:rsidRPr="0077486A">
        <w:rPr>
          <w:rFonts w:ascii="Century Gothic" w:hAnsi="Century Gothic" w:cs="Arial"/>
          <w:sz w:val="24"/>
          <w:szCs w:val="24"/>
        </w:rPr>
        <w:t>Lalpac</w:t>
      </w:r>
      <w:r w:rsidRPr="0077486A">
        <w:rPr>
          <w:rFonts w:ascii="Century Gothic" w:hAnsi="Century Gothic" w:cs="Arial"/>
          <w:sz w:val="24"/>
          <w:szCs w:val="24"/>
        </w:rPr>
        <w:t xml:space="preserve"> licensing system.</w:t>
      </w:r>
    </w:p>
    <w:p w:rsidR="003668B0" w:rsidP="000458CA">
      <w:pPr>
        <w:autoSpaceDE w:val="0"/>
        <w:autoSpaceDN w:val="0"/>
        <w:adjustRightInd w:val="0"/>
        <w:rPr>
          <w:rFonts w:ascii="Century Gothic" w:hAnsi="Century Gothic" w:cs="ArialMT"/>
        </w:rPr>
      </w:pPr>
    </w:p>
    <w:p w:rsidR="003668B0" w:rsidP="000458CA">
      <w:pPr>
        <w:autoSpaceDE w:val="0"/>
        <w:autoSpaceDN w:val="0"/>
        <w:adjustRightInd w:val="0"/>
        <w:rPr>
          <w:rFonts w:ascii="Century Gothic" w:hAnsi="Century Gothic" w:cs="ArialMT"/>
          <w:b/>
        </w:rPr>
      </w:pPr>
      <w:r>
        <w:rPr>
          <w:rFonts w:ascii="Century Gothic" w:hAnsi="Century Gothic" w:cs="ArialMT"/>
          <w:b/>
        </w:rPr>
        <w:t>IDOX Data Management Tool</w:t>
      </w:r>
    </w:p>
    <w:p w:rsidR="003668B0" w:rsidP="000458CA">
      <w:pPr>
        <w:autoSpaceDE w:val="0"/>
        <w:autoSpaceDN w:val="0"/>
        <w:adjustRightInd w:val="0"/>
        <w:rPr>
          <w:rFonts w:ascii="Century Gothic" w:hAnsi="Century Gothic" w:cs="ArialMT"/>
        </w:rPr>
      </w:pPr>
    </w:p>
    <w:p w:rsidR="003668B0" w:rsidP="000458CA">
      <w:pPr>
        <w:autoSpaceDE w:val="0"/>
        <w:autoSpaceDN w:val="0"/>
        <w:adjustRightInd w:val="0"/>
        <w:rPr>
          <w:rFonts w:ascii="Century Gothic" w:hAnsi="Century Gothic" w:cs="ArialMT"/>
        </w:rPr>
      </w:pPr>
      <w:r>
        <w:rPr>
          <w:rFonts w:ascii="Century Gothic" w:hAnsi="Century Gothic" w:cs="ArialMT"/>
        </w:rPr>
        <w:t xml:space="preserve">Costs associated with this module will involve an initial investment of £9,250 including training with a further £1,000 per annum for support and maintenance. </w:t>
      </w:r>
      <w:r w:rsidR="00F40BCE">
        <w:rPr>
          <w:rFonts w:ascii="Century Gothic" w:hAnsi="Century Gothic" w:cs="ArialMT"/>
        </w:rPr>
        <w:t>Whilst no efficiencies are expected to be received from this investment, it is required to ensure compliance with GDPR and Data Protection.</w:t>
      </w:r>
      <w:r w:rsidR="005B2DB0">
        <w:rPr>
          <w:rFonts w:ascii="Century Gothic" w:hAnsi="Century Gothic" w:cs="ArialMT"/>
        </w:rPr>
        <w:t xml:space="preserve">  This will strengthen the Council’s compliance position </w:t>
      </w:r>
      <w:r w:rsidR="00632311">
        <w:rPr>
          <w:rFonts w:ascii="Century Gothic" w:hAnsi="Century Gothic" w:cs="ArialMT"/>
        </w:rPr>
        <w:t>with a positive impact on risk profile levels</w:t>
      </w:r>
      <w:r w:rsidR="006A096F">
        <w:rPr>
          <w:rFonts w:ascii="Century Gothic" w:hAnsi="Century Gothic" w:cs="ArialMT"/>
        </w:rPr>
        <w:t xml:space="preserve"> as data is being actively managed against known data protection legislation and GDPR cleansing rules</w:t>
      </w:r>
      <w:r w:rsidR="00632311">
        <w:rPr>
          <w:rFonts w:ascii="Century Gothic" w:hAnsi="Century Gothic" w:cs="ArialMT"/>
        </w:rPr>
        <w:t>.  Costs involved in GDPR data breaches are extremely high</w:t>
      </w:r>
      <w:r w:rsidR="00992B7B">
        <w:rPr>
          <w:rFonts w:ascii="Century Gothic" w:hAnsi="Century Gothic" w:cs="ArialMT"/>
        </w:rPr>
        <w:t xml:space="preserve"> and also have an adverse reputational impact, so investing in tools to strengthen the position is a worthwhile endeavour.</w:t>
      </w:r>
      <w:r w:rsidR="005B2DB0">
        <w:rPr>
          <w:rFonts w:ascii="Century Gothic" w:hAnsi="Century Gothic" w:cs="ArialMT"/>
        </w:rPr>
        <w:t xml:space="preserve"> </w:t>
      </w:r>
    </w:p>
    <w:p w:rsidR="00F40BCE" w:rsidP="000458CA">
      <w:pPr>
        <w:autoSpaceDE w:val="0"/>
        <w:autoSpaceDN w:val="0"/>
        <w:adjustRightInd w:val="0"/>
        <w:rPr>
          <w:rFonts w:ascii="Century Gothic" w:hAnsi="Century Gothic" w:cs="ArialMT"/>
        </w:rPr>
      </w:pPr>
    </w:p>
    <w:p w:rsidR="00F40BCE" w:rsidP="000458CA">
      <w:pPr>
        <w:autoSpaceDE w:val="0"/>
        <w:autoSpaceDN w:val="0"/>
        <w:adjustRightInd w:val="0"/>
        <w:rPr>
          <w:rFonts w:ascii="Century Gothic" w:hAnsi="Century Gothic" w:cs="ArialMT"/>
          <w:b/>
        </w:rPr>
      </w:pPr>
      <w:r w:rsidRPr="00F40BCE">
        <w:rPr>
          <w:rFonts w:ascii="Century Gothic" w:hAnsi="Century Gothic" w:cs="ArialMT"/>
          <w:b/>
        </w:rPr>
        <w:t>Project Costs</w:t>
      </w:r>
    </w:p>
    <w:p w:rsidR="000420D5" w:rsidP="000420D5">
      <w:pPr>
        <w:autoSpaceDE w:val="0"/>
        <w:autoSpaceDN w:val="0"/>
        <w:adjustRightInd w:val="0"/>
        <w:rPr>
          <w:rFonts w:ascii="Century Gothic" w:hAnsi="Century Gothic" w:cs="ArialMT"/>
        </w:rPr>
      </w:pPr>
      <w:r>
        <w:rPr>
          <w:rFonts w:ascii="Century Gothic" w:hAnsi="Century Gothic" w:cs="ArialMT"/>
        </w:rPr>
        <w:t xml:space="preserve">There are costs associated with this project, however they will be on </w:t>
      </w:r>
      <w:r>
        <w:rPr>
          <w:rFonts w:ascii="Century Gothic" w:hAnsi="Century Gothic" w:cs="ArialMT"/>
        </w:rPr>
        <w:t>an invest</w:t>
      </w:r>
      <w:r>
        <w:rPr>
          <w:rFonts w:ascii="Century Gothic" w:hAnsi="Century Gothic" w:cs="ArialMT"/>
        </w:rPr>
        <w:t xml:space="preserve"> to improve basis, or an invest to save basis. Please see table 1 below which details full indicative costs associated with this project. It is proposed that the existing annual maintenance for the current IDOX Uniform system of £62,000 is re-negotiated as additional modules are introduced:</w:t>
      </w:r>
    </w:p>
    <w:p w:rsidR="000420D5" w:rsidP="000420D5">
      <w:pPr>
        <w:autoSpaceDE w:val="0"/>
        <w:autoSpaceDN w:val="0"/>
        <w:adjustRightInd w:val="0"/>
        <w:rPr>
          <w:rFonts w:ascii="Century Gothic" w:hAnsi="Century Gothic" w:cs="ArialMT"/>
        </w:rPr>
      </w:pPr>
    </w:p>
    <w:p w:rsidR="00C26C09" w:rsidP="00C26C09">
      <w:pPr>
        <w:jc w:val="both"/>
        <w:rPr>
          <w:rFonts w:ascii="Century Gothic" w:hAnsi="Century Gothic" w:cs="Arial"/>
          <w:sz w:val="24"/>
          <w:szCs w:val="24"/>
        </w:rPr>
      </w:pPr>
      <w:r>
        <w:rPr>
          <w:rFonts w:ascii="Century Gothic" w:hAnsi="Century Gothic" w:cs="Arial"/>
          <w:sz w:val="24"/>
          <w:szCs w:val="24"/>
        </w:rPr>
        <w:t>I</w:t>
      </w:r>
      <w:r w:rsidRPr="00C26C09">
        <w:rPr>
          <w:rFonts w:ascii="Century Gothic" w:hAnsi="Century Gothic" w:cs="Arial"/>
          <w:sz w:val="24"/>
          <w:szCs w:val="24"/>
        </w:rPr>
        <w:t xml:space="preserve">n considering alternative options is if we were to retain the existing </w:t>
      </w:r>
      <w:r w:rsidRPr="00C26C09">
        <w:rPr>
          <w:rFonts w:ascii="Century Gothic" w:hAnsi="Century Gothic" w:cs="Arial"/>
          <w:sz w:val="24"/>
          <w:szCs w:val="24"/>
        </w:rPr>
        <w:t>Civica</w:t>
      </w:r>
      <w:r w:rsidRPr="00C26C09">
        <w:rPr>
          <w:rFonts w:ascii="Century Gothic" w:hAnsi="Century Gothic" w:cs="Arial"/>
          <w:sz w:val="24"/>
          <w:szCs w:val="24"/>
        </w:rPr>
        <w:t xml:space="preserve"> EDRMS this would require investment to both maintain and upgrade the </w:t>
      </w:r>
      <w:r w:rsidRPr="00C26C09">
        <w:rPr>
          <w:rFonts w:ascii="Century Gothic" w:hAnsi="Century Gothic" w:cs="Arial"/>
          <w:sz w:val="24"/>
          <w:szCs w:val="24"/>
        </w:rPr>
        <w:t>Civica</w:t>
      </w:r>
      <w:r w:rsidRPr="00C26C09">
        <w:rPr>
          <w:rFonts w:ascii="Century Gothic" w:hAnsi="Century Gothic" w:cs="Arial"/>
          <w:sz w:val="24"/>
          <w:szCs w:val="24"/>
        </w:rPr>
        <w:t xml:space="preserve"> system. See table below. This option was therefore rejected as it would not be cost effective and would not deliver the benefits as cited in the project scope.     </w:t>
      </w:r>
    </w:p>
    <w:p w:rsidR="00C26C09" w:rsidRPr="00C26C09" w:rsidP="00C26C09">
      <w:pPr>
        <w:jc w:val="both"/>
        <w:rPr>
          <w:rFonts w:ascii="Century Gothic" w:hAnsi="Century Gothic" w:cs="Arial"/>
          <w:sz w:val="24"/>
          <w:szCs w:val="24"/>
        </w:rPr>
      </w:pPr>
    </w:p>
    <w:tbl>
      <w:tblPr>
        <w:tblW w:w="985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tblPr>
      <w:tblGrid>
        <w:gridCol w:w="1964"/>
        <w:gridCol w:w="2619"/>
        <w:gridCol w:w="2046"/>
        <w:gridCol w:w="3225"/>
      </w:tblGrid>
      <w:tr w:rsidTr="000954B7">
        <w:tblPrEx>
          <w:tblW w:w="985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tblPrEx>
        <w:tc>
          <w:tcPr>
            <w:tcW w:w="1964" w:type="dxa"/>
            <w:tcBorders>
              <w:top w:val="single" w:sz="4" w:space="0" w:color="666666"/>
              <w:left w:val="single" w:sz="4" w:space="0" w:color="666666"/>
              <w:bottom w:val="single" w:sz="4" w:space="0" w:color="666666"/>
              <w:right w:val="single" w:sz="4" w:space="0" w:color="666666"/>
            </w:tcBorders>
            <w:shd w:val="clear" w:color="auto" w:fill="auto"/>
          </w:tcPr>
          <w:p w:rsidR="00C26C09" w:rsidRPr="00C26C09" w:rsidP="00C26C09">
            <w:pPr>
              <w:jc w:val="both"/>
              <w:rPr>
                <w:rFonts w:ascii="Century Gothic" w:hAnsi="Century Gothic" w:cs="Arial"/>
                <w:b/>
                <w:bCs/>
                <w:sz w:val="24"/>
                <w:szCs w:val="24"/>
              </w:rPr>
            </w:pPr>
            <w:r w:rsidRPr="00C26C09">
              <w:rPr>
                <w:rFonts w:ascii="Century Gothic" w:hAnsi="Century Gothic" w:cs="Arial"/>
                <w:b/>
                <w:bCs/>
                <w:sz w:val="24"/>
                <w:szCs w:val="24"/>
              </w:rPr>
              <w:t>Initiative</w:t>
            </w:r>
          </w:p>
        </w:tc>
        <w:tc>
          <w:tcPr>
            <w:tcW w:w="2619" w:type="dxa"/>
            <w:tcBorders>
              <w:top w:val="single" w:sz="4" w:space="0" w:color="666666"/>
              <w:left w:val="single" w:sz="4" w:space="0" w:color="666666"/>
              <w:bottom w:val="single" w:sz="4" w:space="0" w:color="666666"/>
              <w:right w:val="single" w:sz="4" w:space="0" w:color="666666"/>
            </w:tcBorders>
            <w:shd w:val="clear" w:color="auto" w:fill="auto"/>
          </w:tcPr>
          <w:p w:rsidR="00C26C09" w:rsidRPr="00C26C09" w:rsidP="00C26C09">
            <w:pPr>
              <w:jc w:val="both"/>
              <w:rPr>
                <w:rFonts w:ascii="Century Gothic" w:hAnsi="Century Gothic" w:cs="Arial"/>
                <w:b/>
                <w:sz w:val="24"/>
                <w:szCs w:val="24"/>
              </w:rPr>
            </w:pPr>
            <w:r w:rsidRPr="00C26C09">
              <w:rPr>
                <w:rFonts w:ascii="Century Gothic" w:hAnsi="Century Gothic" w:cs="Arial"/>
                <w:b/>
                <w:sz w:val="24"/>
                <w:szCs w:val="24"/>
              </w:rPr>
              <w:t>Capital Investment</w:t>
            </w:r>
          </w:p>
        </w:tc>
        <w:tc>
          <w:tcPr>
            <w:tcW w:w="2046" w:type="dxa"/>
            <w:tcBorders>
              <w:top w:val="single" w:sz="4" w:space="0" w:color="666666"/>
              <w:left w:val="single" w:sz="4" w:space="0" w:color="666666"/>
              <w:bottom w:val="single" w:sz="4" w:space="0" w:color="666666"/>
              <w:right w:val="single" w:sz="4" w:space="0" w:color="666666"/>
            </w:tcBorders>
            <w:shd w:val="clear" w:color="auto" w:fill="auto"/>
          </w:tcPr>
          <w:p w:rsidR="00C26C09" w:rsidRPr="00C26C09" w:rsidP="00C26C09">
            <w:pPr>
              <w:jc w:val="both"/>
              <w:rPr>
                <w:rFonts w:ascii="Century Gothic" w:hAnsi="Century Gothic" w:cs="Arial"/>
                <w:b/>
                <w:sz w:val="24"/>
                <w:szCs w:val="24"/>
              </w:rPr>
            </w:pPr>
            <w:r w:rsidRPr="00C26C09">
              <w:rPr>
                <w:rFonts w:ascii="Century Gothic" w:hAnsi="Century Gothic" w:cs="Arial"/>
                <w:b/>
                <w:sz w:val="24"/>
                <w:szCs w:val="24"/>
              </w:rPr>
              <w:t>Current Revenue Investment</w:t>
            </w:r>
          </w:p>
        </w:tc>
        <w:tc>
          <w:tcPr>
            <w:tcW w:w="3225" w:type="dxa"/>
            <w:tcBorders>
              <w:top w:val="single" w:sz="4" w:space="0" w:color="666666"/>
              <w:left w:val="single" w:sz="4" w:space="0" w:color="666666"/>
              <w:bottom w:val="single" w:sz="4" w:space="0" w:color="666666"/>
              <w:right w:val="single" w:sz="4" w:space="0" w:color="666666"/>
            </w:tcBorders>
            <w:shd w:val="clear" w:color="auto" w:fill="auto"/>
          </w:tcPr>
          <w:p w:rsidR="00C26C09" w:rsidRPr="00C26C09" w:rsidP="00C26C09">
            <w:pPr>
              <w:jc w:val="both"/>
              <w:rPr>
                <w:rFonts w:ascii="Century Gothic" w:hAnsi="Century Gothic" w:cs="Arial"/>
                <w:b/>
                <w:sz w:val="24"/>
                <w:szCs w:val="24"/>
              </w:rPr>
            </w:pPr>
            <w:r w:rsidRPr="00C26C09">
              <w:rPr>
                <w:rFonts w:ascii="Century Gothic" w:hAnsi="Century Gothic" w:cs="Arial"/>
                <w:b/>
                <w:sz w:val="24"/>
                <w:szCs w:val="24"/>
              </w:rPr>
              <w:t>Proposed Revenue Investment</w:t>
            </w:r>
          </w:p>
        </w:tc>
      </w:tr>
      <w:tr w:rsidTr="000954B7">
        <w:tblPrEx>
          <w:tblW w:w="9854" w:type="dxa"/>
          <w:tblLook w:val="04A0"/>
        </w:tblPrEx>
        <w:tc>
          <w:tcPr>
            <w:tcW w:w="1964" w:type="dxa"/>
            <w:shd w:val="clear" w:color="auto" w:fill="auto"/>
          </w:tcPr>
          <w:p w:rsidR="00C26C09" w:rsidRPr="00C26C09" w:rsidP="00C26C09">
            <w:pPr>
              <w:jc w:val="both"/>
              <w:rPr>
                <w:rFonts w:ascii="Century Gothic" w:hAnsi="Century Gothic" w:cs="Arial"/>
                <w:b/>
                <w:bCs/>
                <w:sz w:val="24"/>
                <w:szCs w:val="24"/>
              </w:rPr>
            </w:pPr>
            <w:r w:rsidRPr="00C26C09">
              <w:rPr>
                <w:rFonts w:ascii="Century Gothic" w:hAnsi="Century Gothic" w:cs="Arial"/>
                <w:b/>
                <w:bCs/>
                <w:sz w:val="24"/>
                <w:szCs w:val="24"/>
              </w:rPr>
              <w:t>Civica</w:t>
            </w:r>
            <w:r w:rsidRPr="00C26C09">
              <w:rPr>
                <w:rFonts w:ascii="Century Gothic" w:hAnsi="Century Gothic" w:cs="Arial"/>
                <w:b/>
                <w:bCs/>
                <w:sz w:val="24"/>
                <w:szCs w:val="24"/>
              </w:rPr>
              <w:t xml:space="preserve"> Documents &amp; Public Document Access </w:t>
            </w:r>
          </w:p>
        </w:tc>
        <w:tc>
          <w:tcPr>
            <w:tcW w:w="2619" w:type="dxa"/>
            <w:shd w:val="clear" w:color="auto" w:fill="auto"/>
          </w:tcPr>
          <w:p w:rsidR="00C26C09" w:rsidRPr="00C26C09" w:rsidP="00C26C09">
            <w:pPr>
              <w:jc w:val="both"/>
              <w:rPr>
                <w:rFonts w:ascii="Century Gothic" w:hAnsi="Century Gothic" w:cs="Arial"/>
                <w:b/>
                <w:sz w:val="24"/>
                <w:szCs w:val="24"/>
              </w:rPr>
            </w:pPr>
            <w:r w:rsidRPr="00C26C09">
              <w:rPr>
                <w:rFonts w:ascii="Century Gothic" w:hAnsi="Century Gothic" w:cs="Arial"/>
                <w:b/>
                <w:sz w:val="24"/>
                <w:szCs w:val="24"/>
              </w:rPr>
              <w:t>£15,000 (Upgrade would be required to existing system if IDOX route is not chosen)</w:t>
            </w:r>
          </w:p>
        </w:tc>
        <w:tc>
          <w:tcPr>
            <w:tcW w:w="2046" w:type="dxa"/>
            <w:shd w:val="clear" w:color="auto" w:fill="auto"/>
          </w:tcPr>
          <w:p w:rsidR="00C26C09" w:rsidRPr="00C26C09" w:rsidP="00C26C09">
            <w:pPr>
              <w:jc w:val="both"/>
              <w:rPr>
                <w:rFonts w:ascii="Century Gothic" w:hAnsi="Century Gothic" w:cs="Arial"/>
                <w:b/>
                <w:sz w:val="24"/>
                <w:szCs w:val="24"/>
              </w:rPr>
            </w:pPr>
            <w:r w:rsidRPr="00C26C09">
              <w:rPr>
                <w:rFonts w:ascii="Century Gothic" w:hAnsi="Century Gothic" w:cs="Arial"/>
                <w:b/>
                <w:sz w:val="24"/>
                <w:szCs w:val="24"/>
              </w:rPr>
              <w:t>£3,771.41</w:t>
            </w:r>
          </w:p>
        </w:tc>
        <w:tc>
          <w:tcPr>
            <w:tcW w:w="3225" w:type="dxa"/>
            <w:shd w:val="clear" w:color="auto" w:fill="auto"/>
          </w:tcPr>
          <w:p w:rsidR="00C26C09" w:rsidRPr="00C26C09" w:rsidP="00C26C09">
            <w:pPr>
              <w:jc w:val="both"/>
              <w:rPr>
                <w:rFonts w:ascii="Century Gothic" w:hAnsi="Century Gothic" w:cs="Arial"/>
                <w:b/>
                <w:sz w:val="24"/>
                <w:szCs w:val="24"/>
              </w:rPr>
            </w:pPr>
            <w:r w:rsidRPr="00C26C09">
              <w:rPr>
                <w:rFonts w:ascii="Century Gothic" w:hAnsi="Century Gothic" w:cs="Arial"/>
                <w:b/>
                <w:sz w:val="24"/>
                <w:szCs w:val="24"/>
              </w:rPr>
              <w:t>£1,600.00 (Upgrade would be required to existing system if IDOX route is not chosen)</w:t>
            </w:r>
          </w:p>
        </w:tc>
      </w:tr>
    </w:tbl>
    <w:p w:rsidR="00C26C09" w:rsidRPr="00C26C09" w:rsidP="00C26C09">
      <w:pPr>
        <w:jc w:val="both"/>
        <w:rPr>
          <w:rFonts w:ascii="Century Gothic" w:hAnsi="Century Gothic" w:cs="Arial"/>
          <w:b/>
          <w:sz w:val="24"/>
          <w:szCs w:val="24"/>
        </w:rPr>
      </w:pPr>
    </w:p>
    <w:p w:rsidR="00C26C09" w:rsidRPr="00C26C09" w:rsidP="00C26C09">
      <w:pPr>
        <w:jc w:val="both"/>
        <w:rPr>
          <w:rFonts w:ascii="Century Gothic" w:hAnsi="Century Gothic" w:cs="Arial"/>
          <w:b/>
          <w:sz w:val="24"/>
          <w:szCs w:val="24"/>
        </w:rPr>
      </w:pPr>
    </w:p>
    <w:p w:rsidR="00C26C09" w:rsidP="00C26C09">
      <w:pPr>
        <w:ind w:left="360"/>
        <w:jc w:val="both"/>
        <w:rPr>
          <w:rFonts w:ascii="Century Gothic" w:hAnsi="Century Gothic" w:cs="Arial"/>
          <w:sz w:val="24"/>
          <w:szCs w:val="24"/>
        </w:rPr>
      </w:pPr>
      <w:r>
        <w:rPr>
          <w:rFonts w:ascii="Century Gothic" w:hAnsi="Century Gothic" w:cs="Arial"/>
          <w:sz w:val="24"/>
          <w:szCs w:val="24"/>
        </w:rPr>
        <w:t>The t</w:t>
      </w:r>
      <w:r w:rsidRPr="00C26C09">
        <w:rPr>
          <w:rFonts w:ascii="Century Gothic" w:hAnsi="Century Gothic" w:cs="Arial"/>
          <w:sz w:val="24"/>
          <w:szCs w:val="24"/>
        </w:rPr>
        <w:t>able below details full indicative costs associated with this project</w:t>
      </w:r>
      <w:r>
        <w:rPr>
          <w:rFonts w:ascii="Century Gothic" w:hAnsi="Century Gothic" w:cs="Arial"/>
          <w:sz w:val="24"/>
          <w:szCs w:val="24"/>
        </w:rPr>
        <w:t>.</w:t>
      </w:r>
    </w:p>
    <w:p w:rsidR="00C26C09" w:rsidRPr="00C26C09" w:rsidP="00C26C09">
      <w:pPr>
        <w:ind w:left="360"/>
        <w:jc w:val="both"/>
        <w:rPr>
          <w:rFonts w:ascii="Century Gothic" w:hAnsi="Century Gothic" w:cs="Arial"/>
          <w:sz w:val="24"/>
          <w:szCs w:val="24"/>
        </w:rPr>
      </w:pPr>
    </w:p>
    <w:tbl>
      <w:tblPr>
        <w:tblW w:w="985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tblPr>
      <w:tblGrid>
        <w:gridCol w:w="1947"/>
        <w:gridCol w:w="2547"/>
        <w:gridCol w:w="2204"/>
        <w:gridCol w:w="3156"/>
      </w:tblGrid>
      <w:tr w:rsidTr="00C26C09">
        <w:tblPrEx>
          <w:tblW w:w="985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tblPrEx>
        <w:tc>
          <w:tcPr>
            <w:tcW w:w="1947" w:type="dxa"/>
            <w:tcBorders>
              <w:top w:val="single" w:sz="4" w:space="0" w:color="000000"/>
              <w:left w:val="single" w:sz="4" w:space="0" w:color="000000"/>
              <w:bottom w:val="single" w:sz="4" w:space="0" w:color="000000"/>
              <w:right w:val="nil"/>
            </w:tcBorders>
            <w:shd w:val="clear" w:color="auto" w:fill="000000"/>
          </w:tcPr>
          <w:p w:rsidR="00C26C09" w:rsidRPr="00C26C09" w:rsidP="00C26C09">
            <w:pPr>
              <w:jc w:val="center"/>
              <w:rPr>
                <w:rFonts w:ascii="Arial" w:eastAsia="Times New Roman" w:hAnsi="Arial" w:cs="Arial"/>
                <w:b/>
                <w:bCs/>
                <w:color w:val="auto"/>
                <w:sz w:val="24"/>
                <w:szCs w:val="24"/>
                <w:lang w:eastAsia="en-GB"/>
              </w:rPr>
            </w:pPr>
            <w:r w:rsidRPr="00C26C09">
              <w:rPr>
                <w:rFonts w:ascii="Arial" w:eastAsia="Times New Roman" w:hAnsi="Arial" w:cs="Arial"/>
                <w:b/>
                <w:bCs/>
                <w:color w:val="auto"/>
                <w:sz w:val="24"/>
                <w:szCs w:val="24"/>
                <w:lang w:eastAsia="en-GB"/>
              </w:rPr>
              <w:t>Initiative</w:t>
            </w:r>
          </w:p>
        </w:tc>
        <w:tc>
          <w:tcPr>
            <w:tcW w:w="2547" w:type="dxa"/>
            <w:tcBorders>
              <w:top w:val="single" w:sz="4" w:space="0" w:color="000000"/>
              <w:left w:val="nil"/>
              <w:bottom w:val="single" w:sz="4" w:space="0" w:color="000000"/>
              <w:right w:val="nil"/>
            </w:tcBorders>
            <w:shd w:val="clear" w:color="auto" w:fill="000000"/>
          </w:tcPr>
          <w:p w:rsidR="00C26C09" w:rsidRPr="00C26C09" w:rsidP="00C26C09">
            <w:pPr>
              <w:jc w:val="center"/>
              <w:rPr>
                <w:rFonts w:ascii="Arial" w:eastAsia="Times New Roman" w:hAnsi="Arial" w:cs="Arial"/>
                <w:b/>
                <w:bCs/>
                <w:color w:val="auto"/>
                <w:sz w:val="24"/>
                <w:szCs w:val="24"/>
                <w:lang w:eastAsia="en-GB"/>
              </w:rPr>
            </w:pPr>
            <w:r w:rsidRPr="00C26C09">
              <w:rPr>
                <w:rFonts w:ascii="Arial" w:eastAsia="Times New Roman" w:hAnsi="Arial" w:cs="Arial"/>
                <w:b/>
                <w:bCs/>
                <w:color w:val="auto"/>
                <w:sz w:val="24"/>
                <w:szCs w:val="24"/>
                <w:lang w:eastAsia="en-GB"/>
              </w:rPr>
              <w:t>Capital Investment</w:t>
            </w:r>
          </w:p>
        </w:tc>
        <w:tc>
          <w:tcPr>
            <w:tcW w:w="2204" w:type="dxa"/>
            <w:tcBorders>
              <w:top w:val="single" w:sz="4" w:space="0" w:color="000000"/>
              <w:left w:val="nil"/>
              <w:bottom w:val="single" w:sz="4" w:space="0" w:color="000000"/>
              <w:right w:val="single" w:sz="4" w:space="0" w:color="000000"/>
            </w:tcBorders>
            <w:shd w:val="clear" w:color="auto" w:fill="000000"/>
          </w:tcPr>
          <w:p w:rsidR="00C26C09" w:rsidRPr="00C26C09" w:rsidP="00C26C09">
            <w:pPr>
              <w:jc w:val="center"/>
              <w:rPr>
                <w:rFonts w:ascii="Arial" w:eastAsia="Times New Roman" w:hAnsi="Arial" w:cs="Arial"/>
                <w:b/>
                <w:bCs/>
                <w:color w:val="auto"/>
                <w:sz w:val="24"/>
                <w:szCs w:val="24"/>
                <w:lang w:eastAsia="en-GB"/>
              </w:rPr>
            </w:pPr>
            <w:r w:rsidRPr="00C26C09">
              <w:rPr>
                <w:rFonts w:ascii="Arial" w:eastAsia="Times New Roman" w:hAnsi="Arial" w:cs="Arial"/>
                <w:b/>
                <w:bCs/>
                <w:color w:val="auto"/>
                <w:sz w:val="24"/>
                <w:szCs w:val="24"/>
                <w:lang w:eastAsia="en-GB"/>
              </w:rPr>
              <w:t>Current Revenue Investment</w:t>
            </w:r>
          </w:p>
        </w:tc>
        <w:tc>
          <w:tcPr>
            <w:tcW w:w="3156" w:type="dxa"/>
            <w:tcBorders>
              <w:top w:val="single" w:sz="4" w:space="0" w:color="000000"/>
              <w:left w:val="nil"/>
              <w:bottom w:val="single" w:sz="4" w:space="0" w:color="000000"/>
              <w:right w:val="single" w:sz="4" w:space="0" w:color="000000"/>
            </w:tcBorders>
            <w:shd w:val="clear" w:color="auto" w:fill="000000"/>
          </w:tcPr>
          <w:p w:rsidR="00C26C09" w:rsidRPr="00C26C09" w:rsidP="00C26C09">
            <w:pPr>
              <w:jc w:val="center"/>
              <w:rPr>
                <w:rFonts w:ascii="Arial" w:eastAsia="Times New Roman" w:hAnsi="Arial" w:cs="Arial"/>
                <w:b/>
                <w:bCs/>
                <w:color w:val="auto"/>
                <w:sz w:val="24"/>
                <w:szCs w:val="24"/>
                <w:lang w:eastAsia="en-GB"/>
              </w:rPr>
            </w:pPr>
            <w:r w:rsidRPr="00C26C09">
              <w:rPr>
                <w:rFonts w:ascii="Arial" w:eastAsia="Times New Roman" w:hAnsi="Arial" w:cs="Arial"/>
                <w:b/>
                <w:bCs/>
                <w:color w:val="auto"/>
                <w:sz w:val="24"/>
                <w:szCs w:val="24"/>
                <w:lang w:eastAsia="en-GB"/>
              </w:rPr>
              <w:t>Proposed Revenue Investment</w:t>
            </w:r>
          </w:p>
        </w:tc>
      </w:tr>
      <w:tr w:rsidTr="00C26C09">
        <w:tblPrEx>
          <w:tblW w:w="9854" w:type="dxa"/>
          <w:tblLook w:val="04A0"/>
        </w:tblPrEx>
        <w:tc>
          <w:tcPr>
            <w:tcW w:w="1947" w:type="dxa"/>
            <w:shd w:val="clear" w:color="auto" w:fill="D9D9D9"/>
          </w:tcPr>
          <w:p w:rsidR="00C26C09" w:rsidRPr="00C26C09" w:rsidP="00C26C09">
            <w:pPr>
              <w:jc w:val="both"/>
              <w:rPr>
                <w:rFonts w:ascii="Arial" w:eastAsia="Times New Roman" w:hAnsi="Arial" w:cs="Arial"/>
                <w:b/>
                <w:bCs/>
                <w:color w:val="auto"/>
                <w:sz w:val="24"/>
                <w:szCs w:val="24"/>
                <w:lang w:eastAsia="en-GB"/>
              </w:rPr>
            </w:pPr>
            <w:r w:rsidRPr="00C26C09">
              <w:rPr>
                <w:rFonts w:ascii="Arial" w:eastAsia="Times New Roman" w:hAnsi="Arial" w:cs="Arial"/>
                <w:b/>
                <w:bCs/>
                <w:color w:val="auto"/>
                <w:sz w:val="24"/>
                <w:szCs w:val="24"/>
                <w:lang w:eastAsia="en-GB"/>
              </w:rPr>
              <w:t>Civica</w:t>
            </w:r>
            <w:r w:rsidRPr="00C26C09">
              <w:rPr>
                <w:rFonts w:ascii="Arial" w:eastAsia="Times New Roman" w:hAnsi="Arial" w:cs="Arial"/>
                <w:b/>
                <w:bCs/>
                <w:color w:val="auto"/>
                <w:sz w:val="24"/>
                <w:szCs w:val="24"/>
                <w:lang w:eastAsia="en-GB"/>
              </w:rPr>
              <w:t xml:space="preserve"> Documents &amp; Public Document Access</w:t>
            </w:r>
          </w:p>
        </w:tc>
        <w:tc>
          <w:tcPr>
            <w:tcW w:w="2547" w:type="dxa"/>
            <w:shd w:val="clear" w:color="auto" w:fill="D9D9D9"/>
          </w:tcPr>
          <w:p w:rsidR="00C26C09" w:rsidRPr="00C26C09" w:rsidP="00C26C09">
            <w:pPr>
              <w:autoSpaceDE w:val="0"/>
              <w:autoSpaceDN w:val="0"/>
              <w:adjustRightInd w:val="0"/>
              <w:jc w:val="center"/>
              <w:rPr>
                <w:rFonts w:ascii="Arial" w:eastAsia="Arial" w:hAnsi="Arial" w:cs="Arial"/>
                <w:color w:val="000000"/>
                <w:sz w:val="24"/>
                <w:szCs w:val="24"/>
              </w:rPr>
            </w:pPr>
            <w:r w:rsidRPr="00C26C09">
              <w:rPr>
                <w:rFonts w:ascii="Arial" w:eastAsia="Arial" w:hAnsi="Arial" w:cs="Arial"/>
                <w:color w:val="000000"/>
                <w:sz w:val="24"/>
                <w:szCs w:val="24"/>
              </w:rPr>
              <w:t>£0</w:t>
            </w:r>
          </w:p>
        </w:tc>
        <w:tc>
          <w:tcPr>
            <w:tcW w:w="2204" w:type="dxa"/>
            <w:shd w:val="clear" w:color="auto" w:fill="D9D9D9"/>
          </w:tcPr>
          <w:p w:rsidR="00C26C09" w:rsidRPr="00C26C09" w:rsidP="00C26C09">
            <w:pPr>
              <w:autoSpaceDE w:val="0"/>
              <w:autoSpaceDN w:val="0"/>
              <w:adjustRightInd w:val="0"/>
              <w:ind w:left="720"/>
              <w:jc w:val="center"/>
              <w:rPr>
                <w:rFonts w:ascii="Arial" w:eastAsia="Arial" w:hAnsi="Arial" w:cs="Arial"/>
                <w:color w:val="000000"/>
                <w:sz w:val="24"/>
                <w:szCs w:val="24"/>
              </w:rPr>
            </w:pPr>
            <w:r w:rsidRPr="00C26C09">
              <w:rPr>
                <w:rFonts w:ascii="Arial" w:eastAsia="Arial" w:hAnsi="Arial" w:cs="Arial"/>
                <w:color w:val="000000"/>
                <w:sz w:val="24"/>
                <w:szCs w:val="24"/>
              </w:rPr>
              <w:t>£3,771.41</w:t>
            </w:r>
          </w:p>
        </w:tc>
        <w:tc>
          <w:tcPr>
            <w:tcW w:w="3156" w:type="dxa"/>
            <w:shd w:val="clear" w:color="auto" w:fill="D9D9D9"/>
          </w:tcPr>
          <w:p w:rsidR="00C26C09" w:rsidRPr="00C26C09" w:rsidP="00C26C09">
            <w:pPr>
              <w:autoSpaceDE w:val="0"/>
              <w:autoSpaceDN w:val="0"/>
              <w:adjustRightInd w:val="0"/>
              <w:ind w:left="720"/>
              <w:jc w:val="center"/>
              <w:rPr>
                <w:rFonts w:ascii="Arial" w:eastAsia="Arial" w:hAnsi="Arial" w:cs="Arial"/>
                <w:color w:val="000000"/>
                <w:sz w:val="24"/>
                <w:szCs w:val="24"/>
              </w:rPr>
            </w:pPr>
            <w:r w:rsidRPr="00C26C09">
              <w:rPr>
                <w:rFonts w:ascii="Arial" w:eastAsia="Arial" w:hAnsi="Arial" w:cs="Arial"/>
                <w:color w:val="000000"/>
                <w:sz w:val="24"/>
                <w:szCs w:val="24"/>
              </w:rPr>
              <w:t>£0</w:t>
            </w:r>
          </w:p>
        </w:tc>
      </w:tr>
      <w:tr w:rsidTr="00C26C09">
        <w:tblPrEx>
          <w:tblW w:w="9854" w:type="dxa"/>
          <w:tblLook w:val="04A0"/>
        </w:tblPrEx>
        <w:tc>
          <w:tcPr>
            <w:tcW w:w="1947" w:type="dxa"/>
            <w:shd w:val="clear" w:color="auto" w:fill="D9D9D9"/>
          </w:tcPr>
          <w:p w:rsidR="00C26C09" w:rsidRPr="00C26C09" w:rsidP="00C26C09">
            <w:pPr>
              <w:jc w:val="both"/>
              <w:rPr>
                <w:rFonts w:ascii="Arial" w:eastAsia="Times New Roman" w:hAnsi="Arial" w:cs="Arial"/>
                <w:b/>
                <w:bCs/>
                <w:color w:val="auto"/>
                <w:sz w:val="24"/>
                <w:szCs w:val="24"/>
                <w:lang w:eastAsia="en-GB"/>
              </w:rPr>
            </w:pPr>
            <w:r w:rsidRPr="00C26C09">
              <w:rPr>
                <w:rFonts w:ascii="Arial" w:eastAsia="Times New Roman" w:hAnsi="Arial" w:cs="Arial"/>
                <w:b/>
                <w:bCs/>
                <w:color w:val="auto"/>
                <w:sz w:val="24"/>
                <w:szCs w:val="24"/>
                <w:lang w:eastAsia="en-GB"/>
              </w:rPr>
              <w:t xml:space="preserve">IDOX DDE </w:t>
            </w:r>
            <w:r w:rsidRPr="00C26C09">
              <w:rPr>
                <w:rFonts w:ascii="Arial" w:eastAsia="Times New Roman" w:hAnsi="Arial" w:cs="Arial"/>
                <w:b/>
                <w:bCs/>
                <w:color w:val="auto"/>
                <w:sz w:val="24"/>
                <w:szCs w:val="24"/>
                <w:lang w:eastAsia="en-GB"/>
              </w:rPr>
              <w:t>Civica</w:t>
            </w:r>
            <w:r w:rsidRPr="00C26C09">
              <w:rPr>
                <w:rFonts w:ascii="Arial" w:eastAsia="Times New Roman" w:hAnsi="Arial" w:cs="Arial"/>
                <w:b/>
                <w:bCs/>
                <w:color w:val="auto"/>
                <w:sz w:val="24"/>
                <w:szCs w:val="24"/>
                <w:lang w:eastAsia="en-GB"/>
              </w:rPr>
              <w:t xml:space="preserve"> Link</w:t>
            </w:r>
          </w:p>
        </w:tc>
        <w:tc>
          <w:tcPr>
            <w:tcW w:w="2547" w:type="dxa"/>
            <w:shd w:val="clear" w:color="auto" w:fill="D9D9D9"/>
          </w:tcPr>
          <w:p w:rsidR="00C26C09" w:rsidRPr="00C26C09" w:rsidP="00C26C09">
            <w:pPr>
              <w:autoSpaceDE w:val="0"/>
              <w:autoSpaceDN w:val="0"/>
              <w:adjustRightInd w:val="0"/>
              <w:jc w:val="center"/>
              <w:rPr>
                <w:rFonts w:ascii="Arial" w:eastAsia="Arial" w:hAnsi="Arial" w:cs="Arial"/>
                <w:color w:val="000000"/>
                <w:sz w:val="24"/>
                <w:szCs w:val="24"/>
              </w:rPr>
            </w:pPr>
            <w:r w:rsidRPr="00C26C09">
              <w:rPr>
                <w:rFonts w:ascii="Arial" w:eastAsia="Arial" w:hAnsi="Arial" w:cs="Arial"/>
                <w:color w:val="000000"/>
                <w:sz w:val="24"/>
                <w:szCs w:val="24"/>
              </w:rPr>
              <w:t>£0</w:t>
            </w:r>
          </w:p>
        </w:tc>
        <w:tc>
          <w:tcPr>
            <w:tcW w:w="2204" w:type="dxa"/>
            <w:shd w:val="clear" w:color="auto" w:fill="D9D9D9"/>
          </w:tcPr>
          <w:p w:rsidR="00C26C09" w:rsidRPr="00C26C09" w:rsidP="00C26C09">
            <w:pPr>
              <w:autoSpaceDE w:val="0"/>
              <w:autoSpaceDN w:val="0"/>
              <w:adjustRightInd w:val="0"/>
              <w:ind w:left="720"/>
              <w:jc w:val="center"/>
              <w:rPr>
                <w:rFonts w:ascii="Arial" w:eastAsia="Arial" w:hAnsi="Arial" w:cs="Arial"/>
                <w:color w:val="000000"/>
                <w:sz w:val="24"/>
                <w:szCs w:val="24"/>
              </w:rPr>
            </w:pPr>
            <w:r w:rsidRPr="00C26C09">
              <w:rPr>
                <w:rFonts w:ascii="Arial" w:eastAsia="Arial" w:hAnsi="Arial" w:cs="Arial"/>
                <w:color w:val="000000"/>
                <w:sz w:val="24"/>
                <w:szCs w:val="24"/>
              </w:rPr>
              <w:t>£1,377.85</w:t>
            </w:r>
          </w:p>
        </w:tc>
        <w:tc>
          <w:tcPr>
            <w:tcW w:w="3156" w:type="dxa"/>
            <w:shd w:val="clear" w:color="auto" w:fill="D9D9D9"/>
          </w:tcPr>
          <w:p w:rsidR="00C26C09" w:rsidRPr="00C26C09" w:rsidP="00C26C09">
            <w:pPr>
              <w:autoSpaceDE w:val="0"/>
              <w:autoSpaceDN w:val="0"/>
              <w:adjustRightInd w:val="0"/>
              <w:ind w:left="720"/>
              <w:jc w:val="center"/>
              <w:rPr>
                <w:rFonts w:ascii="Arial" w:eastAsia="Arial" w:hAnsi="Arial" w:cs="Arial"/>
                <w:color w:val="000000"/>
                <w:sz w:val="24"/>
                <w:szCs w:val="24"/>
              </w:rPr>
            </w:pPr>
            <w:r w:rsidRPr="00C26C09">
              <w:rPr>
                <w:rFonts w:ascii="Arial" w:eastAsia="Arial" w:hAnsi="Arial" w:cs="Arial"/>
                <w:color w:val="000000"/>
                <w:sz w:val="24"/>
                <w:szCs w:val="24"/>
              </w:rPr>
              <w:t>£0</w:t>
            </w:r>
          </w:p>
        </w:tc>
      </w:tr>
      <w:tr w:rsidTr="00C26C09">
        <w:tblPrEx>
          <w:tblW w:w="9854" w:type="dxa"/>
          <w:tblLook w:val="04A0"/>
        </w:tblPrEx>
        <w:tc>
          <w:tcPr>
            <w:tcW w:w="1947" w:type="dxa"/>
            <w:shd w:val="clear" w:color="auto" w:fill="auto"/>
          </w:tcPr>
          <w:p w:rsidR="00C26C09" w:rsidRPr="00C26C09" w:rsidP="00C26C09">
            <w:pPr>
              <w:jc w:val="both"/>
              <w:rPr>
                <w:rFonts w:ascii="Arial" w:eastAsia="Times New Roman" w:hAnsi="Arial" w:cs="Arial"/>
                <w:b/>
                <w:bCs/>
                <w:color w:val="auto"/>
                <w:sz w:val="24"/>
                <w:szCs w:val="24"/>
                <w:lang w:eastAsia="en-GB"/>
              </w:rPr>
            </w:pPr>
            <w:r w:rsidRPr="00C26C09">
              <w:rPr>
                <w:rFonts w:ascii="Arial" w:eastAsia="Times New Roman" w:hAnsi="Arial" w:cs="Arial"/>
                <w:b/>
                <w:bCs/>
                <w:color w:val="auto"/>
                <w:sz w:val="24"/>
                <w:szCs w:val="24"/>
                <w:lang w:eastAsia="en-GB"/>
              </w:rPr>
              <w:t>Lalpac</w:t>
            </w:r>
          </w:p>
        </w:tc>
        <w:tc>
          <w:tcPr>
            <w:tcW w:w="2547" w:type="dxa"/>
            <w:shd w:val="clear" w:color="auto" w:fill="auto"/>
          </w:tcPr>
          <w:p w:rsidR="00C26C09" w:rsidRPr="00C26C09" w:rsidP="00C26C09">
            <w:pPr>
              <w:autoSpaceDE w:val="0"/>
              <w:autoSpaceDN w:val="0"/>
              <w:adjustRightInd w:val="0"/>
              <w:jc w:val="center"/>
              <w:rPr>
                <w:rFonts w:ascii="Arial" w:eastAsia="Arial" w:hAnsi="Arial" w:cs="Arial"/>
                <w:color w:val="000000"/>
                <w:sz w:val="24"/>
                <w:szCs w:val="24"/>
              </w:rPr>
            </w:pPr>
            <w:r w:rsidRPr="00C26C09">
              <w:rPr>
                <w:rFonts w:ascii="Arial" w:eastAsia="Arial" w:hAnsi="Arial" w:cs="Arial"/>
                <w:color w:val="000000"/>
                <w:sz w:val="24"/>
                <w:szCs w:val="24"/>
              </w:rPr>
              <w:t>£0</w:t>
            </w:r>
          </w:p>
        </w:tc>
        <w:tc>
          <w:tcPr>
            <w:tcW w:w="2204" w:type="dxa"/>
            <w:shd w:val="clear" w:color="auto" w:fill="auto"/>
          </w:tcPr>
          <w:p w:rsidR="00C26C09" w:rsidRPr="00C26C09" w:rsidP="00C26C09">
            <w:pPr>
              <w:autoSpaceDE w:val="0"/>
              <w:autoSpaceDN w:val="0"/>
              <w:adjustRightInd w:val="0"/>
              <w:ind w:left="720"/>
              <w:jc w:val="center"/>
              <w:rPr>
                <w:rFonts w:ascii="Arial" w:eastAsia="Arial" w:hAnsi="Arial" w:cs="Arial"/>
                <w:color w:val="000000"/>
                <w:sz w:val="24"/>
                <w:szCs w:val="24"/>
              </w:rPr>
            </w:pPr>
            <w:r w:rsidRPr="00C26C09">
              <w:rPr>
                <w:rFonts w:ascii="Arial" w:eastAsia="Arial" w:hAnsi="Arial" w:cs="Arial"/>
                <w:color w:val="000000"/>
                <w:sz w:val="24"/>
                <w:szCs w:val="24"/>
              </w:rPr>
              <w:t>£16,543.00</w:t>
            </w:r>
          </w:p>
        </w:tc>
        <w:tc>
          <w:tcPr>
            <w:tcW w:w="3156" w:type="dxa"/>
            <w:shd w:val="clear" w:color="auto" w:fill="auto"/>
          </w:tcPr>
          <w:p w:rsidR="00C26C09" w:rsidRPr="00C26C09" w:rsidP="00C26C09">
            <w:pPr>
              <w:autoSpaceDE w:val="0"/>
              <w:autoSpaceDN w:val="0"/>
              <w:adjustRightInd w:val="0"/>
              <w:ind w:left="720"/>
              <w:jc w:val="center"/>
              <w:rPr>
                <w:rFonts w:ascii="Arial" w:eastAsia="Arial" w:hAnsi="Arial" w:cs="Arial"/>
                <w:color w:val="000000"/>
                <w:sz w:val="24"/>
                <w:szCs w:val="24"/>
              </w:rPr>
            </w:pPr>
            <w:r w:rsidRPr="00C26C09">
              <w:rPr>
                <w:rFonts w:ascii="Arial" w:eastAsia="Arial" w:hAnsi="Arial" w:cs="Arial"/>
                <w:color w:val="000000"/>
                <w:sz w:val="24"/>
                <w:szCs w:val="24"/>
              </w:rPr>
              <w:t>£0</w:t>
            </w:r>
          </w:p>
        </w:tc>
      </w:tr>
      <w:tr w:rsidTr="00C26C09">
        <w:tblPrEx>
          <w:tblW w:w="9854" w:type="dxa"/>
          <w:tblLook w:val="04A0"/>
        </w:tblPrEx>
        <w:tc>
          <w:tcPr>
            <w:tcW w:w="1947" w:type="dxa"/>
            <w:shd w:val="clear" w:color="auto" w:fill="D9D9D9"/>
          </w:tcPr>
          <w:p w:rsidR="00C26C09" w:rsidRPr="00C26C09" w:rsidP="00C26C09">
            <w:pPr>
              <w:jc w:val="both"/>
              <w:rPr>
                <w:rFonts w:ascii="Arial" w:eastAsia="Times New Roman" w:hAnsi="Arial" w:cs="Arial"/>
                <w:b/>
                <w:bCs/>
                <w:color w:val="auto"/>
                <w:sz w:val="24"/>
                <w:szCs w:val="24"/>
                <w:lang w:eastAsia="en-GB"/>
              </w:rPr>
            </w:pPr>
            <w:r w:rsidRPr="00C26C09">
              <w:rPr>
                <w:rFonts w:ascii="Arial" w:eastAsia="Times New Roman" w:hAnsi="Arial" w:cs="Arial"/>
                <w:b/>
                <w:bCs/>
                <w:color w:val="auto"/>
                <w:sz w:val="24"/>
                <w:szCs w:val="24"/>
                <w:lang w:eastAsia="en-GB"/>
              </w:rPr>
              <w:t>IDOX Uniform existing modules</w:t>
            </w:r>
          </w:p>
        </w:tc>
        <w:tc>
          <w:tcPr>
            <w:tcW w:w="2547" w:type="dxa"/>
            <w:shd w:val="clear" w:color="auto" w:fill="D9D9D9"/>
          </w:tcPr>
          <w:p w:rsidR="00C26C09" w:rsidRPr="00C26C09" w:rsidP="00C26C09">
            <w:pPr>
              <w:autoSpaceDE w:val="0"/>
              <w:autoSpaceDN w:val="0"/>
              <w:adjustRightInd w:val="0"/>
              <w:jc w:val="center"/>
              <w:rPr>
                <w:rFonts w:ascii="Arial" w:eastAsia="Arial" w:hAnsi="Arial" w:cs="Arial"/>
                <w:color w:val="000000"/>
                <w:sz w:val="24"/>
                <w:szCs w:val="24"/>
              </w:rPr>
            </w:pPr>
            <w:r w:rsidRPr="00C26C09">
              <w:rPr>
                <w:rFonts w:ascii="Arial" w:eastAsia="Arial" w:hAnsi="Arial" w:cs="Arial"/>
                <w:color w:val="000000"/>
                <w:sz w:val="24"/>
                <w:szCs w:val="24"/>
              </w:rPr>
              <w:t>£0</w:t>
            </w:r>
          </w:p>
        </w:tc>
        <w:tc>
          <w:tcPr>
            <w:tcW w:w="2204" w:type="dxa"/>
            <w:shd w:val="clear" w:color="auto" w:fill="D9D9D9"/>
          </w:tcPr>
          <w:p w:rsidR="00C26C09" w:rsidRPr="00C26C09" w:rsidP="00C26C09">
            <w:pPr>
              <w:autoSpaceDE w:val="0"/>
              <w:autoSpaceDN w:val="0"/>
              <w:adjustRightInd w:val="0"/>
              <w:ind w:left="720"/>
              <w:jc w:val="center"/>
              <w:rPr>
                <w:rFonts w:ascii="Arial" w:eastAsia="Arial" w:hAnsi="Arial" w:cs="Arial"/>
                <w:color w:val="000000"/>
                <w:sz w:val="24"/>
                <w:szCs w:val="24"/>
              </w:rPr>
            </w:pPr>
            <w:r w:rsidRPr="00C26C09">
              <w:rPr>
                <w:rFonts w:ascii="Arial" w:eastAsia="Arial" w:hAnsi="Arial" w:cs="Arial"/>
                <w:color w:val="000000"/>
                <w:sz w:val="24"/>
                <w:szCs w:val="24"/>
              </w:rPr>
              <w:t>£60,622.15</w:t>
            </w:r>
          </w:p>
          <w:p w:rsidR="00C26C09" w:rsidRPr="00C26C09" w:rsidP="00C26C09">
            <w:pPr>
              <w:autoSpaceDE w:val="0"/>
              <w:autoSpaceDN w:val="0"/>
              <w:adjustRightInd w:val="0"/>
              <w:ind w:left="720"/>
              <w:jc w:val="center"/>
              <w:rPr>
                <w:rFonts w:ascii="Arial" w:eastAsia="Arial" w:hAnsi="Arial" w:cs="Arial"/>
                <w:color w:val="000000"/>
                <w:sz w:val="24"/>
                <w:szCs w:val="24"/>
              </w:rPr>
            </w:pPr>
          </w:p>
        </w:tc>
        <w:tc>
          <w:tcPr>
            <w:tcW w:w="3156" w:type="dxa"/>
            <w:shd w:val="clear" w:color="auto" w:fill="D9D9D9"/>
          </w:tcPr>
          <w:p w:rsidR="00C26C09" w:rsidRPr="00C26C09" w:rsidP="00C26C09">
            <w:pPr>
              <w:autoSpaceDE w:val="0"/>
              <w:autoSpaceDN w:val="0"/>
              <w:adjustRightInd w:val="0"/>
              <w:ind w:left="720"/>
              <w:jc w:val="center"/>
              <w:rPr>
                <w:rFonts w:ascii="Arial" w:eastAsia="Arial" w:hAnsi="Arial" w:cs="Arial"/>
                <w:color w:val="000000"/>
                <w:sz w:val="24"/>
                <w:szCs w:val="24"/>
              </w:rPr>
            </w:pPr>
            <w:r w:rsidRPr="00C26C09">
              <w:rPr>
                <w:rFonts w:ascii="Arial" w:eastAsia="Arial" w:hAnsi="Arial" w:cs="Arial"/>
                <w:color w:val="000000"/>
                <w:sz w:val="24"/>
                <w:szCs w:val="24"/>
              </w:rPr>
              <w:t>£60,622.15</w:t>
            </w:r>
          </w:p>
        </w:tc>
      </w:tr>
      <w:tr w:rsidTr="00C26C09">
        <w:tblPrEx>
          <w:tblW w:w="9854" w:type="dxa"/>
          <w:tblLook w:val="04A0"/>
        </w:tblPrEx>
        <w:tc>
          <w:tcPr>
            <w:tcW w:w="1947" w:type="dxa"/>
            <w:shd w:val="clear" w:color="auto" w:fill="auto"/>
          </w:tcPr>
          <w:p w:rsidR="00C26C09" w:rsidRPr="00C26C09" w:rsidP="00C26C09">
            <w:pPr>
              <w:jc w:val="both"/>
              <w:rPr>
                <w:rFonts w:ascii="Arial" w:eastAsia="Times New Roman" w:hAnsi="Arial" w:cs="Arial"/>
                <w:b/>
                <w:bCs/>
                <w:color w:val="auto"/>
                <w:sz w:val="24"/>
                <w:szCs w:val="24"/>
                <w:lang w:eastAsia="en-GB"/>
              </w:rPr>
            </w:pPr>
            <w:r w:rsidRPr="00C26C09">
              <w:rPr>
                <w:rFonts w:ascii="Arial" w:eastAsia="Times New Roman" w:hAnsi="Arial" w:cs="Arial"/>
                <w:b/>
                <w:bCs/>
                <w:color w:val="auto"/>
                <w:sz w:val="24"/>
                <w:szCs w:val="24"/>
                <w:lang w:eastAsia="en-GB"/>
              </w:rPr>
              <w:t>Health Check</w:t>
            </w:r>
          </w:p>
        </w:tc>
        <w:tc>
          <w:tcPr>
            <w:tcW w:w="2547" w:type="dxa"/>
            <w:shd w:val="clear" w:color="auto" w:fill="auto"/>
          </w:tcPr>
          <w:p w:rsidR="00C26C09" w:rsidRPr="00C26C09" w:rsidP="00C26C09">
            <w:pPr>
              <w:autoSpaceDE w:val="0"/>
              <w:autoSpaceDN w:val="0"/>
              <w:adjustRightInd w:val="0"/>
              <w:jc w:val="center"/>
              <w:rPr>
                <w:rFonts w:ascii="Arial" w:eastAsia="Arial" w:hAnsi="Arial" w:cs="Arial"/>
                <w:color w:val="000000"/>
                <w:sz w:val="24"/>
                <w:szCs w:val="24"/>
              </w:rPr>
            </w:pPr>
            <w:r w:rsidRPr="00C26C09">
              <w:rPr>
                <w:rFonts w:ascii="Arial" w:eastAsia="Arial" w:hAnsi="Arial" w:cs="Arial"/>
                <w:color w:val="000000"/>
                <w:sz w:val="24"/>
                <w:szCs w:val="24"/>
              </w:rPr>
              <w:t>£9,025.00</w:t>
            </w:r>
          </w:p>
        </w:tc>
        <w:tc>
          <w:tcPr>
            <w:tcW w:w="2204" w:type="dxa"/>
            <w:shd w:val="clear" w:color="auto" w:fill="auto"/>
          </w:tcPr>
          <w:p w:rsidR="00C26C09" w:rsidRPr="00C26C09" w:rsidP="00C26C09">
            <w:pPr>
              <w:autoSpaceDE w:val="0"/>
              <w:autoSpaceDN w:val="0"/>
              <w:adjustRightInd w:val="0"/>
              <w:ind w:left="720"/>
              <w:jc w:val="center"/>
              <w:rPr>
                <w:rFonts w:ascii="Arial" w:eastAsia="Arial" w:hAnsi="Arial" w:cs="Arial"/>
                <w:color w:val="000000"/>
                <w:sz w:val="24"/>
                <w:szCs w:val="24"/>
              </w:rPr>
            </w:pPr>
            <w:r w:rsidRPr="00C26C09">
              <w:rPr>
                <w:rFonts w:ascii="Arial" w:eastAsia="Arial" w:hAnsi="Arial" w:cs="Arial"/>
                <w:color w:val="000000"/>
                <w:sz w:val="24"/>
                <w:szCs w:val="24"/>
              </w:rPr>
              <w:t>£0</w:t>
            </w:r>
          </w:p>
        </w:tc>
        <w:tc>
          <w:tcPr>
            <w:tcW w:w="3156" w:type="dxa"/>
            <w:shd w:val="clear" w:color="auto" w:fill="auto"/>
          </w:tcPr>
          <w:p w:rsidR="00C26C09" w:rsidRPr="00C26C09" w:rsidP="00C26C09">
            <w:pPr>
              <w:autoSpaceDE w:val="0"/>
              <w:autoSpaceDN w:val="0"/>
              <w:adjustRightInd w:val="0"/>
              <w:ind w:left="720"/>
              <w:jc w:val="center"/>
              <w:rPr>
                <w:rFonts w:ascii="Arial" w:eastAsia="Arial" w:hAnsi="Arial" w:cs="Arial"/>
                <w:color w:val="000000"/>
                <w:sz w:val="24"/>
                <w:szCs w:val="24"/>
              </w:rPr>
            </w:pPr>
            <w:r w:rsidRPr="00C26C09">
              <w:rPr>
                <w:rFonts w:ascii="Arial" w:eastAsia="Arial" w:hAnsi="Arial" w:cs="Arial"/>
                <w:color w:val="000000"/>
                <w:sz w:val="24"/>
                <w:szCs w:val="24"/>
              </w:rPr>
              <w:t>£0</w:t>
            </w:r>
          </w:p>
        </w:tc>
      </w:tr>
      <w:tr w:rsidTr="00C26C09">
        <w:tblPrEx>
          <w:tblW w:w="9854" w:type="dxa"/>
          <w:tblLook w:val="04A0"/>
        </w:tblPrEx>
        <w:tc>
          <w:tcPr>
            <w:tcW w:w="1947" w:type="dxa"/>
            <w:shd w:val="clear" w:color="auto" w:fill="D9D9D9"/>
          </w:tcPr>
          <w:p w:rsidR="00C26C09" w:rsidRPr="00C26C09" w:rsidP="00C26C09">
            <w:pPr>
              <w:jc w:val="both"/>
              <w:rPr>
                <w:rFonts w:ascii="Arial" w:eastAsia="Times New Roman" w:hAnsi="Arial" w:cs="Arial"/>
                <w:b/>
                <w:bCs/>
                <w:color w:val="auto"/>
                <w:sz w:val="24"/>
                <w:szCs w:val="24"/>
                <w:lang w:eastAsia="en-GB"/>
              </w:rPr>
            </w:pPr>
            <w:r w:rsidRPr="00C26C09">
              <w:rPr>
                <w:rFonts w:ascii="Arial" w:eastAsia="Times New Roman" w:hAnsi="Arial" w:cs="Arial"/>
                <w:b/>
                <w:bCs/>
                <w:color w:val="auto"/>
                <w:sz w:val="24"/>
                <w:szCs w:val="24"/>
                <w:lang w:eastAsia="en-GB"/>
              </w:rPr>
              <w:t>IDOX Document Management System</w:t>
            </w:r>
          </w:p>
        </w:tc>
        <w:tc>
          <w:tcPr>
            <w:tcW w:w="2547" w:type="dxa"/>
            <w:shd w:val="clear" w:color="auto" w:fill="D9D9D9"/>
          </w:tcPr>
          <w:p w:rsidR="00C26C09" w:rsidRPr="00C26C09" w:rsidP="00C26C09">
            <w:pPr>
              <w:autoSpaceDE w:val="0"/>
              <w:autoSpaceDN w:val="0"/>
              <w:adjustRightInd w:val="0"/>
              <w:jc w:val="center"/>
              <w:rPr>
                <w:rFonts w:ascii="Arial" w:eastAsia="Arial" w:hAnsi="Arial" w:cs="Arial"/>
                <w:color w:val="000000"/>
                <w:sz w:val="24"/>
                <w:szCs w:val="24"/>
              </w:rPr>
            </w:pPr>
            <w:r w:rsidRPr="00C26C09">
              <w:rPr>
                <w:rFonts w:ascii="Arial" w:eastAsia="Arial" w:hAnsi="Arial" w:cs="Arial"/>
                <w:color w:val="000000"/>
                <w:sz w:val="24"/>
                <w:szCs w:val="24"/>
              </w:rPr>
              <w:t xml:space="preserve">£63,850.00 </w:t>
            </w:r>
          </w:p>
        </w:tc>
        <w:tc>
          <w:tcPr>
            <w:tcW w:w="2204" w:type="dxa"/>
            <w:shd w:val="clear" w:color="auto" w:fill="D9D9D9"/>
          </w:tcPr>
          <w:p w:rsidR="00C26C09" w:rsidRPr="00C26C09" w:rsidP="00C26C09">
            <w:pPr>
              <w:autoSpaceDE w:val="0"/>
              <w:autoSpaceDN w:val="0"/>
              <w:adjustRightInd w:val="0"/>
              <w:ind w:left="720"/>
              <w:jc w:val="center"/>
              <w:rPr>
                <w:rFonts w:ascii="Arial" w:eastAsia="Arial" w:hAnsi="Arial" w:cs="Arial"/>
                <w:color w:val="000000"/>
                <w:sz w:val="24"/>
                <w:szCs w:val="24"/>
              </w:rPr>
            </w:pPr>
            <w:r w:rsidRPr="00C26C09">
              <w:rPr>
                <w:rFonts w:ascii="Arial" w:eastAsia="Arial" w:hAnsi="Arial" w:cs="Arial"/>
                <w:color w:val="000000"/>
                <w:sz w:val="24"/>
                <w:szCs w:val="24"/>
              </w:rPr>
              <w:t>£0</w:t>
            </w:r>
          </w:p>
        </w:tc>
        <w:tc>
          <w:tcPr>
            <w:tcW w:w="3156" w:type="dxa"/>
            <w:shd w:val="clear" w:color="auto" w:fill="D9D9D9"/>
          </w:tcPr>
          <w:p w:rsidR="00C26C09" w:rsidRPr="00C26C09" w:rsidP="00C26C09">
            <w:pPr>
              <w:autoSpaceDE w:val="0"/>
              <w:autoSpaceDN w:val="0"/>
              <w:adjustRightInd w:val="0"/>
              <w:ind w:left="720"/>
              <w:jc w:val="center"/>
              <w:rPr>
                <w:rFonts w:ascii="Arial" w:eastAsia="Arial" w:hAnsi="Arial" w:cs="Arial"/>
                <w:color w:val="000000"/>
                <w:sz w:val="24"/>
                <w:szCs w:val="24"/>
              </w:rPr>
            </w:pPr>
            <w:r w:rsidRPr="00C26C09">
              <w:rPr>
                <w:rFonts w:ascii="Arial" w:eastAsia="Arial" w:hAnsi="Arial" w:cs="Arial"/>
                <w:color w:val="000000"/>
                <w:sz w:val="24"/>
                <w:szCs w:val="24"/>
              </w:rPr>
              <w:t>£4,380.00</w:t>
            </w:r>
          </w:p>
        </w:tc>
      </w:tr>
      <w:tr w:rsidTr="00C26C09">
        <w:tblPrEx>
          <w:tblW w:w="9854" w:type="dxa"/>
          <w:tblLook w:val="04A0"/>
        </w:tblPrEx>
        <w:tc>
          <w:tcPr>
            <w:tcW w:w="1947" w:type="dxa"/>
            <w:shd w:val="clear" w:color="auto" w:fill="auto"/>
          </w:tcPr>
          <w:p w:rsidR="00C26C09" w:rsidRPr="00C26C09" w:rsidP="00C26C09">
            <w:pPr>
              <w:jc w:val="both"/>
              <w:rPr>
                <w:rFonts w:ascii="Arial" w:eastAsia="Times New Roman" w:hAnsi="Arial" w:cs="Arial"/>
                <w:b/>
                <w:bCs/>
                <w:color w:val="auto"/>
                <w:sz w:val="24"/>
                <w:szCs w:val="24"/>
                <w:lang w:eastAsia="en-GB"/>
              </w:rPr>
            </w:pPr>
            <w:r w:rsidRPr="00C26C09">
              <w:rPr>
                <w:rFonts w:ascii="Arial" w:eastAsia="Times New Roman" w:hAnsi="Arial" w:cs="Arial"/>
                <w:b/>
                <w:bCs/>
                <w:color w:val="auto"/>
                <w:sz w:val="24"/>
                <w:szCs w:val="24"/>
                <w:lang w:eastAsia="en-GB"/>
              </w:rPr>
              <w:t>IDOX Enterprise</w:t>
            </w:r>
          </w:p>
        </w:tc>
        <w:tc>
          <w:tcPr>
            <w:tcW w:w="2547" w:type="dxa"/>
            <w:shd w:val="clear" w:color="auto" w:fill="auto"/>
          </w:tcPr>
          <w:p w:rsidR="00C26C09" w:rsidRPr="00C26C09" w:rsidP="00C26C09">
            <w:pPr>
              <w:autoSpaceDE w:val="0"/>
              <w:autoSpaceDN w:val="0"/>
              <w:adjustRightInd w:val="0"/>
              <w:jc w:val="center"/>
              <w:rPr>
                <w:rFonts w:ascii="Arial" w:eastAsia="Arial" w:hAnsi="Arial" w:cs="Arial"/>
                <w:color w:val="000000"/>
                <w:sz w:val="24"/>
                <w:szCs w:val="24"/>
              </w:rPr>
            </w:pPr>
            <w:r w:rsidRPr="00C26C09">
              <w:rPr>
                <w:rFonts w:ascii="Arial" w:eastAsia="Arial" w:hAnsi="Arial" w:cs="Arial"/>
                <w:color w:val="000000"/>
                <w:sz w:val="24"/>
                <w:szCs w:val="24"/>
              </w:rPr>
              <w:t>£26,725.00</w:t>
            </w:r>
          </w:p>
        </w:tc>
        <w:tc>
          <w:tcPr>
            <w:tcW w:w="2204" w:type="dxa"/>
            <w:shd w:val="clear" w:color="auto" w:fill="auto"/>
          </w:tcPr>
          <w:p w:rsidR="00C26C09" w:rsidRPr="00C26C09" w:rsidP="00C26C09">
            <w:pPr>
              <w:autoSpaceDE w:val="0"/>
              <w:autoSpaceDN w:val="0"/>
              <w:adjustRightInd w:val="0"/>
              <w:ind w:left="720"/>
              <w:jc w:val="center"/>
              <w:rPr>
                <w:rFonts w:ascii="Arial" w:eastAsia="Arial" w:hAnsi="Arial" w:cs="Arial"/>
                <w:color w:val="000000"/>
                <w:sz w:val="24"/>
                <w:szCs w:val="24"/>
              </w:rPr>
            </w:pPr>
            <w:r w:rsidRPr="00C26C09">
              <w:rPr>
                <w:rFonts w:ascii="Arial" w:eastAsia="Arial" w:hAnsi="Arial" w:cs="Arial"/>
                <w:color w:val="000000"/>
                <w:sz w:val="24"/>
                <w:szCs w:val="24"/>
              </w:rPr>
              <w:t>£0</w:t>
            </w:r>
          </w:p>
        </w:tc>
        <w:tc>
          <w:tcPr>
            <w:tcW w:w="3156" w:type="dxa"/>
            <w:shd w:val="clear" w:color="auto" w:fill="auto"/>
          </w:tcPr>
          <w:p w:rsidR="00C26C09" w:rsidRPr="00C26C09" w:rsidP="00C26C09">
            <w:pPr>
              <w:autoSpaceDE w:val="0"/>
              <w:autoSpaceDN w:val="0"/>
              <w:adjustRightInd w:val="0"/>
              <w:ind w:left="720"/>
              <w:jc w:val="center"/>
              <w:rPr>
                <w:rFonts w:ascii="Arial" w:eastAsia="Arial" w:hAnsi="Arial" w:cs="Arial"/>
                <w:color w:val="000000"/>
                <w:sz w:val="24"/>
                <w:szCs w:val="24"/>
              </w:rPr>
            </w:pPr>
            <w:r w:rsidRPr="00C26C09">
              <w:rPr>
                <w:rFonts w:ascii="Arial" w:eastAsia="Arial" w:hAnsi="Arial" w:cs="Arial"/>
                <w:color w:val="000000"/>
                <w:sz w:val="24"/>
                <w:szCs w:val="24"/>
              </w:rPr>
              <w:t>£2,800.00</w:t>
            </w:r>
          </w:p>
        </w:tc>
      </w:tr>
      <w:tr w:rsidTr="00C26C09">
        <w:tblPrEx>
          <w:tblW w:w="9854" w:type="dxa"/>
          <w:tblLook w:val="04A0"/>
        </w:tblPrEx>
        <w:tc>
          <w:tcPr>
            <w:tcW w:w="1947" w:type="dxa"/>
            <w:shd w:val="clear" w:color="auto" w:fill="D9D9D9"/>
          </w:tcPr>
          <w:p w:rsidR="00C26C09" w:rsidRPr="00C26C09" w:rsidP="00C26C09">
            <w:pPr>
              <w:jc w:val="both"/>
              <w:rPr>
                <w:rFonts w:ascii="Arial" w:eastAsia="Times New Roman" w:hAnsi="Arial" w:cs="Arial"/>
                <w:b/>
                <w:bCs/>
                <w:color w:val="auto"/>
                <w:sz w:val="24"/>
                <w:szCs w:val="24"/>
                <w:lang w:eastAsia="en-GB"/>
              </w:rPr>
            </w:pPr>
            <w:r w:rsidRPr="00C26C09">
              <w:rPr>
                <w:rFonts w:ascii="Arial" w:eastAsia="Times New Roman" w:hAnsi="Arial" w:cs="Arial"/>
                <w:b/>
                <w:bCs/>
                <w:color w:val="auto"/>
                <w:sz w:val="24"/>
                <w:szCs w:val="24"/>
                <w:lang w:eastAsia="en-GB"/>
              </w:rPr>
              <w:t>IDOX Licensing</w:t>
            </w:r>
          </w:p>
        </w:tc>
        <w:tc>
          <w:tcPr>
            <w:tcW w:w="2547" w:type="dxa"/>
            <w:shd w:val="clear" w:color="auto" w:fill="D9D9D9"/>
          </w:tcPr>
          <w:p w:rsidR="00C26C09" w:rsidRPr="00C26C09" w:rsidP="00C26C09">
            <w:pPr>
              <w:autoSpaceDE w:val="0"/>
              <w:autoSpaceDN w:val="0"/>
              <w:adjustRightInd w:val="0"/>
              <w:jc w:val="center"/>
              <w:rPr>
                <w:rFonts w:ascii="Arial" w:eastAsia="Arial" w:hAnsi="Arial" w:cs="Arial"/>
                <w:color w:val="000000"/>
                <w:sz w:val="24"/>
                <w:szCs w:val="24"/>
              </w:rPr>
            </w:pPr>
            <w:r w:rsidRPr="00C26C09">
              <w:rPr>
                <w:rFonts w:ascii="Arial" w:eastAsia="Arial" w:hAnsi="Arial" w:cs="Arial"/>
                <w:color w:val="000000"/>
                <w:sz w:val="24"/>
                <w:szCs w:val="24"/>
              </w:rPr>
              <w:t>£37,800.00</w:t>
            </w:r>
          </w:p>
        </w:tc>
        <w:tc>
          <w:tcPr>
            <w:tcW w:w="2204" w:type="dxa"/>
            <w:shd w:val="clear" w:color="auto" w:fill="D9D9D9"/>
          </w:tcPr>
          <w:p w:rsidR="00C26C09" w:rsidRPr="00C26C09" w:rsidP="00C26C09">
            <w:pPr>
              <w:autoSpaceDE w:val="0"/>
              <w:autoSpaceDN w:val="0"/>
              <w:adjustRightInd w:val="0"/>
              <w:ind w:left="720"/>
              <w:jc w:val="center"/>
              <w:rPr>
                <w:rFonts w:ascii="Arial" w:eastAsia="Arial" w:hAnsi="Arial" w:cs="Arial"/>
                <w:color w:val="000000"/>
                <w:sz w:val="24"/>
                <w:szCs w:val="24"/>
              </w:rPr>
            </w:pPr>
            <w:r w:rsidRPr="00C26C09">
              <w:rPr>
                <w:rFonts w:ascii="Arial" w:eastAsia="Arial" w:hAnsi="Arial" w:cs="Arial"/>
                <w:color w:val="000000"/>
                <w:sz w:val="24"/>
                <w:szCs w:val="24"/>
              </w:rPr>
              <w:t>£0</w:t>
            </w:r>
          </w:p>
        </w:tc>
        <w:tc>
          <w:tcPr>
            <w:tcW w:w="3156" w:type="dxa"/>
            <w:shd w:val="clear" w:color="auto" w:fill="D9D9D9"/>
          </w:tcPr>
          <w:p w:rsidR="00C26C09" w:rsidRPr="00C26C09" w:rsidP="00C26C09">
            <w:pPr>
              <w:autoSpaceDE w:val="0"/>
              <w:autoSpaceDN w:val="0"/>
              <w:adjustRightInd w:val="0"/>
              <w:ind w:left="720"/>
              <w:jc w:val="center"/>
              <w:rPr>
                <w:rFonts w:ascii="Arial" w:eastAsia="Arial" w:hAnsi="Arial" w:cs="Arial"/>
                <w:color w:val="000000"/>
                <w:sz w:val="24"/>
                <w:szCs w:val="24"/>
              </w:rPr>
            </w:pPr>
            <w:r w:rsidRPr="00C26C09">
              <w:rPr>
                <w:rFonts w:ascii="Arial" w:eastAsia="Arial" w:hAnsi="Arial" w:cs="Arial"/>
                <w:color w:val="000000"/>
                <w:sz w:val="24"/>
                <w:szCs w:val="24"/>
              </w:rPr>
              <w:t>£16,543.00</w:t>
            </w:r>
          </w:p>
        </w:tc>
      </w:tr>
      <w:tr w:rsidTr="00C26C09">
        <w:tblPrEx>
          <w:tblW w:w="9854" w:type="dxa"/>
          <w:tblLook w:val="04A0"/>
        </w:tblPrEx>
        <w:tc>
          <w:tcPr>
            <w:tcW w:w="1947" w:type="dxa"/>
            <w:shd w:val="clear" w:color="auto" w:fill="auto"/>
          </w:tcPr>
          <w:p w:rsidR="00C26C09" w:rsidRPr="00C26C09" w:rsidP="00C26C09">
            <w:pPr>
              <w:jc w:val="both"/>
              <w:rPr>
                <w:rFonts w:ascii="Arial" w:eastAsia="Times New Roman" w:hAnsi="Arial" w:cs="Arial"/>
                <w:b/>
                <w:bCs/>
                <w:color w:val="auto"/>
                <w:sz w:val="24"/>
                <w:szCs w:val="24"/>
                <w:lang w:eastAsia="en-GB"/>
              </w:rPr>
            </w:pPr>
            <w:r w:rsidRPr="00C26C09">
              <w:rPr>
                <w:rFonts w:ascii="Arial" w:eastAsia="Times New Roman" w:hAnsi="Arial" w:cs="Arial"/>
                <w:b/>
                <w:bCs/>
                <w:color w:val="auto"/>
                <w:sz w:val="24"/>
                <w:szCs w:val="24"/>
                <w:lang w:eastAsia="en-GB"/>
              </w:rPr>
              <w:t>IDOX Data Management</w:t>
            </w:r>
          </w:p>
        </w:tc>
        <w:tc>
          <w:tcPr>
            <w:tcW w:w="2547" w:type="dxa"/>
            <w:shd w:val="clear" w:color="auto" w:fill="auto"/>
          </w:tcPr>
          <w:p w:rsidR="00C26C09" w:rsidRPr="00C26C09" w:rsidP="00C26C09">
            <w:pPr>
              <w:autoSpaceDE w:val="0"/>
              <w:autoSpaceDN w:val="0"/>
              <w:adjustRightInd w:val="0"/>
              <w:jc w:val="center"/>
              <w:rPr>
                <w:rFonts w:ascii="Arial" w:eastAsia="Arial" w:hAnsi="Arial" w:cs="Arial"/>
                <w:color w:val="000000"/>
                <w:sz w:val="24"/>
                <w:szCs w:val="24"/>
              </w:rPr>
            </w:pPr>
            <w:r w:rsidRPr="00C26C09">
              <w:rPr>
                <w:rFonts w:ascii="Arial" w:eastAsia="Arial" w:hAnsi="Arial" w:cs="Arial"/>
                <w:color w:val="000000"/>
                <w:sz w:val="24"/>
                <w:szCs w:val="24"/>
              </w:rPr>
              <w:t>£9,025.00</w:t>
            </w:r>
          </w:p>
        </w:tc>
        <w:tc>
          <w:tcPr>
            <w:tcW w:w="2204" w:type="dxa"/>
            <w:shd w:val="clear" w:color="auto" w:fill="auto"/>
          </w:tcPr>
          <w:p w:rsidR="00C26C09" w:rsidRPr="00C26C09" w:rsidP="00C26C09">
            <w:pPr>
              <w:autoSpaceDE w:val="0"/>
              <w:autoSpaceDN w:val="0"/>
              <w:adjustRightInd w:val="0"/>
              <w:ind w:left="720"/>
              <w:jc w:val="center"/>
              <w:rPr>
                <w:rFonts w:ascii="Arial" w:eastAsia="Arial" w:hAnsi="Arial" w:cs="Arial"/>
                <w:color w:val="000000"/>
                <w:sz w:val="24"/>
                <w:szCs w:val="24"/>
              </w:rPr>
            </w:pPr>
            <w:r w:rsidRPr="00C26C09">
              <w:rPr>
                <w:rFonts w:ascii="Arial" w:eastAsia="Arial" w:hAnsi="Arial" w:cs="Arial"/>
                <w:color w:val="000000"/>
                <w:sz w:val="24"/>
                <w:szCs w:val="24"/>
              </w:rPr>
              <w:t>£0</w:t>
            </w:r>
          </w:p>
        </w:tc>
        <w:tc>
          <w:tcPr>
            <w:tcW w:w="3156" w:type="dxa"/>
            <w:shd w:val="clear" w:color="auto" w:fill="auto"/>
          </w:tcPr>
          <w:p w:rsidR="00C26C09" w:rsidRPr="00C26C09" w:rsidP="00C26C09">
            <w:pPr>
              <w:autoSpaceDE w:val="0"/>
              <w:autoSpaceDN w:val="0"/>
              <w:adjustRightInd w:val="0"/>
              <w:ind w:left="720"/>
              <w:jc w:val="center"/>
              <w:rPr>
                <w:rFonts w:ascii="Arial" w:eastAsia="Arial" w:hAnsi="Arial" w:cs="Arial"/>
                <w:color w:val="000000"/>
                <w:sz w:val="24"/>
                <w:szCs w:val="24"/>
              </w:rPr>
            </w:pPr>
            <w:r w:rsidRPr="00C26C09">
              <w:rPr>
                <w:rFonts w:ascii="Arial" w:eastAsia="Arial" w:hAnsi="Arial" w:cs="Arial"/>
                <w:color w:val="000000"/>
                <w:sz w:val="24"/>
                <w:szCs w:val="24"/>
              </w:rPr>
              <w:t>£1,000</w:t>
            </w:r>
          </w:p>
        </w:tc>
      </w:tr>
      <w:tr w:rsidTr="00C26C09">
        <w:tblPrEx>
          <w:tblW w:w="9854" w:type="dxa"/>
          <w:tblLook w:val="04A0"/>
        </w:tblPrEx>
        <w:tc>
          <w:tcPr>
            <w:tcW w:w="1947" w:type="dxa"/>
            <w:shd w:val="clear" w:color="auto" w:fill="000000"/>
          </w:tcPr>
          <w:p w:rsidR="00C26C09" w:rsidRPr="00C26C09" w:rsidP="00C26C09">
            <w:pPr>
              <w:jc w:val="right"/>
              <w:rPr>
                <w:rFonts w:ascii="Arial" w:eastAsia="Times New Roman" w:hAnsi="Arial" w:cs="Arial"/>
                <w:b/>
                <w:bCs/>
                <w:color w:val="auto"/>
                <w:sz w:val="24"/>
                <w:szCs w:val="24"/>
                <w:lang w:eastAsia="en-GB"/>
              </w:rPr>
            </w:pPr>
            <w:r w:rsidRPr="00C26C09">
              <w:rPr>
                <w:rFonts w:ascii="Arial" w:eastAsia="Times New Roman" w:hAnsi="Arial" w:cs="Arial"/>
                <w:b/>
                <w:bCs/>
                <w:color w:val="auto"/>
                <w:sz w:val="24"/>
                <w:szCs w:val="24"/>
                <w:lang w:eastAsia="en-GB"/>
              </w:rPr>
              <w:t>Total:</w:t>
            </w:r>
          </w:p>
        </w:tc>
        <w:tc>
          <w:tcPr>
            <w:tcW w:w="2547" w:type="dxa"/>
            <w:shd w:val="clear" w:color="auto" w:fill="000000"/>
          </w:tcPr>
          <w:p w:rsidR="00C26C09" w:rsidRPr="00C26C09" w:rsidP="00C26C09">
            <w:pPr>
              <w:autoSpaceDE w:val="0"/>
              <w:autoSpaceDN w:val="0"/>
              <w:adjustRightInd w:val="0"/>
              <w:jc w:val="center"/>
              <w:rPr>
                <w:rFonts w:ascii="Arial" w:eastAsia="Arial" w:hAnsi="Arial" w:cs="Arial"/>
                <w:color w:val="FFFFFF"/>
                <w:sz w:val="24"/>
                <w:szCs w:val="24"/>
              </w:rPr>
            </w:pPr>
            <w:r w:rsidRPr="00C26C09">
              <w:rPr>
                <w:rFonts w:ascii="Arial" w:eastAsia="Arial" w:hAnsi="Arial" w:cs="Arial"/>
                <w:color w:val="FFFFFF"/>
                <w:sz w:val="24"/>
                <w:szCs w:val="24"/>
              </w:rPr>
              <w:t>£146,425.0</w:t>
            </w:r>
          </w:p>
        </w:tc>
        <w:tc>
          <w:tcPr>
            <w:tcW w:w="2204" w:type="dxa"/>
            <w:shd w:val="clear" w:color="auto" w:fill="000000"/>
          </w:tcPr>
          <w:p w:rsidR="00C26C09" w:rsidRPr="00C26C09" w:rsidP="00C26C09">
            <w:pPr>
              <w:autoSpaceDE w:val="0"/>
              <w:autoSpaceDN w:val="0"/>
              <w:adjustRightInd w:val="0"/>
              <w:ind w:left="720"/>
              <w:jc w:val="center"/>
              <w:rPr>
                <w:rFonts w:ascii="Arial" w:eastAsia="Arial" w:hAnsi="Arial" w:cs="Arial"/>
                <w:color w:val="FFFFFF"/>
                <w:sz w:val="24"/>
                <w:szCs w:val="24"/>
              </w:rPr>
            </w:pPr>
            <w:r w:rsidRPr="00C26C09">
              <w:rPr>
                <w:rFonts w:ascii="Arial" w:eastAsia="Arial" w:hAnsi="Arial" w:cs="Arial"/>
                <w:color w:val="FFFFFF"/>
                <w:sz w:val="24"/>
                <w:szCs w:val="24"/>
              </w:rPr>
              <w:t>£,82,314.41</w:t>
            </w:r>
          </w:p>
        </w:tc>
        <w:tc>
          <w:tcPr>
            <w:tcW w:w="3156" w:type="dxa"/>
            <w:shd w:val="clear" w:color="auto" w:fill="000000"/>
          </w:tcPr>
          <w:p w:rsidR="00C26C09" w:rsidRPr="00C26C09" w:rsidP="00C26C09">
            <w:pPr>
              <w:autoSpaceDE w:val="0"/>
              <w:autoSpaceDN w:val="0"/>
              <w:adjustRightInd w:val="0"/>
              <w:ind w:left="720"/>
              <w:jc w:val="center"/>
              <w:rPr>
                <w:rFonts w:ascii="Arial" w:eastAsia="Arial" w:hAnsi="Arial" w:cs="Arial"/>
                <w:color w:val="FFFFFF"/>
                <w:sz w:val="24"/>
                <w:szCs w:val="24"/>
              </w:rPr>
            </w:pPr>
            <w:r w:rsidRPr="00C26C09">
              <w:rPr>
                <w:rFonts w:ascii="Arial" w:eastAsia="Arial" w:hAnsi="Arial" w:cs="Arial"/>
                <w:color w:val="FFFFFF"/>
                <w:sz w:val="24"/>
                <w:szCs w:val="24"/>
              </w:rPr>
              <w:t>£85,345.15</w:t>
            </w:r>
          </w:p>
        </w:tc>
      </w:tr>
    </w:tbl>
    <w:p w:rsidR="00C26C09" w:rsidRPr="00C26C09" w:rsidP="00C26C09">
      <w:pPr>
        <w:jc w:val="both"/>
        <w:rPr>
          <w:rFonts w:ascii="Arial" w:eastAsia="Times New Roman" w:hAnsi="Arial" w:cs="Arial"/>
          <w:color w:val="auto"/>
          <w:sz w:val="24"/>
          <w:szCs w:val="24"/>
          <w:lang w:eastAsia="en-GB"/>
        </w:rPr>
      </w:pPr>
    </w:p>
    <w:p w:rsidR="0077486A" w:rsidRPr="0077486A" w:rsidP="0077486A">
      <w:pPr>
        <w:jc w:val="both"/>
        <w:rPr>
          <w:rFonts w:ascii="Century Gothic" w:hAnsi="Century Gothic" w:cs="Arial"/>
          <w:sz w:val="24"/>
          <w:szCs w:val="24"/>
        </w:rPr>
      </w:pPr>
    </w:p>
    <w:p w:rsidR="0077486A" w:rsidRPr="0077486A" w:rsidP="0077486A">
      <w:pPr>
        <w:jc w:val="both"/>
        <w:rPr>
          <w:rFonts w:ascii="Century Gothic" w:hAnsi="Century Gothic" w:cs="Arial"/>
          <w:bCs/>
          <w:iCs/>
          <w:sz w:val="24"/>
          <w:szCs w:val="24"/>
        </w:rPr>
      </w:pPr>
      <w:r w:rsidRPr="0077486A">
        <w:rPr>
          <w:rFonts w:ascii="Century Gothic" w:hAnsi="Century Gothic" w:cs="Arial"/>
          <w:bCs/>
          <w:iCs/>
          <w:sz w:val="24"/>
          <w:szCs w:val="24"/>
        </w:rPr>
        <w:t xml:space="preserve">As can be seen from the above once introduced there will be additional revenue requirements of £3,030.74 which will need to be added to the ICT Revenue Budget. </w:t>
      </w:r>
      <w:r w:rsidR="00211488">
        <w:rPr>
          <w:rFonts w:ascii="Century Gothic" w:hAnsi="Century Gothic" w:cs="Arial"/>
          <w:bCs/>
          <w:iCs/>
          <w:sz w:val="24"/>
          <w:szCs w:val="24"/>
        </w:rPr>
        <w:t>The capital requirements of £146</w:t>
      </w:r>
      <w:r w:rsidRPr="0077486A">
        <w:rPr>
          <w:rFonts w:ascii="Century Gothic" w:hAnsi="Century Gothic" w:cs="Arial"/>
          <w:bCs/>
          <w:iCs/>
          <w:sz w:val="24"/>
          <w:szCs w:val="24"/>
        </w:rPr>
        <w:t>,425.00 could be allocated from the ICT capital fund drawing on future year’s provisions if required. In addition to the above it is expected that there will be costs to migrate data from the existing Civica EDRMS system to the new IDOX environment.</w:t>
      </w:r>
    </w:p>
    <w:p w:rsidR="006E68B8" w:rsidP="00566D0F">
      <w:pPr>
        <w:spacing w:after="60"/>
        <w:outlineLvl w:val="1"/>
        <w:rPr>
          <w:rFonts w:ascii="Century Gothic" w:eastAsia="Times New Roman" w:hAnsi="Century Gothic" w:cs="Arial"/>
          <w:b/>
          <w:bCs/>
          <w:iCs/>
          <w:color w:val="auto"/>
          <w:sz w:val="32"/>
        </w:rPr>
      </w:pPr>
    </w:p>
    <w:p w:rsidR="00566D0F" w:rsidP="00566D0F">
      <w:pPr>
        <w:spacing w:after="60"/>
        <w:outlineLvl w:val="1"/>
        <w:rPr>
          <w:rFonts w:ascii="Century Gothic" w:eastAsia="Times New Roman" w:hAnsi="Century Gothic" w:cs="Arial"/>
          <w:b/>
          <w:bCs/>
          <w:iCs/>
          <w:color w:val="auto"/>
          <w:sz w:val="32"/>
        </w:rPr>
      </w:pPr>
      <w:r>
        <w:rPr>
          <w:rFonts w:ascii="Century Gothic" w:eastAsia="Times New Roman" w:hAnsi="Century Gothic" w:cs="Arial"/>
          <w:b/>
          <w:bCs/>
          <w:iCs/>
          <w:color w:val="auto"/>
          <w:sz w:val="32"/>
        </w:rPr>
        <w:t>Benefits Realisation</w:t>
      </w:r>
    </w:p>
    <w:p w:rsidR="000420D5" w:rsidRPr="000420D5" w:rsidP="000420D5">
      <w:pPr>
        <w:spacing w:after="60"/>
        <w:outlineLvl w:val="1"/>
        <w:rPr>
          <w:rFonts w:ascii="Century Gothic" w:hAnsi="Century Gothic" w:cs="Arial"/>
          <w:bCs/>
          <w:iCs/>
          <w:color w:val="auto"/>
          <w:sz w:val="24"/>
          <w:szCs w:val="24"/>
        </w:rPr>
      </w:pPr>
      <w:r w:rsidRPr="000420D5">
        <w:rPr>
          <w:rFonts w:ascii="Century Gothic" w:hAnsi="Century Gothic" w:cs="Arial"/>
          <w:bCs/>
          <w:iCs/>
          <w:color w:val="auto"/>
          <w:sz w:val="24"/>
          <w:szCs w:val="24"/>
        </w:rPr>
        <w:t>As part of the scope of this project existing and ideal circumstance processes will be mapped for several reasons. Robust process maps will ensure that IDOX Enterprise can be configured to promote the most efficient and direct workflow, and will also support the post project benefits realisation review.</w:t>
      </w:r>
    </w:p>
    <w:p w:rsidR="006E68B8" w:rsidRPr="006E68B8" w:rsidP="006E68B8">
      <w:pPr>
        <w:spacing w:after="60"/>
        <w:outlineLvl w:val="1"/>
        <w:rPr>
          <w:rFonts w:ascii="Century Gothic" w:hAnsi="Century Gothic" w:cs="Arial"/>
          <w:bCs/>
          <w:iCs/>
          <w:color w:val="auto"/>
          <w:sz w:val="24"/>
          <w:szCs w:val="24"/>
        </w:rPr>
      </w:pPr>
      <w:r w:rsidRPr="006E68B8">
        <w:rPr>
          <w:rFonts w:ascii="Century Gothic" w:hAnsi="Century Gothic" w:cs="Arial"/>
          <w:bCs/>
          <w:iCs/>
          <w:color w:val="auto"/>
          <w:sz w:val="24"/>
          <w:szCs w:val="24"/>
        </w:rPr>
        <w:t>Two Environmental Health processes have been mapped pre-project which show the potential for efficiency savings through the introduction of IDOX Enterprise, IDOX EDMS, mobile applications, training and workflow automation. An example for commercial premises is shown below. A full suite of pre and post project process maps will be created as part of the scope of this project:</w:t>
      </w:r>
    </w:p>
    <w:p w:rsidR="006E68B8" w:rsidP="006E68B8">
      <w:pPr>
        <w:spacing w:after="60"/>
        <w:outlineLvl w:val="1"/>
        <w:rPr>
          <w:rFonts w:ascii="Century Gothic" w:hAnsi="Century Gothic" w:cs="Arial"/>
          <w:b/>
          <w:bCs/>
          <w:iCs/>
          <w:color w:val="auto"/>
          <w:sz w:val="24"/>
          <w:szCs w:val="24"/>
        </w:rPr>
      </w:pPr>
    </w:p>
    <w:p w:rsidR="00C26C09" w:rsidP="006E68B8">
      <w:pPr>
        <w:spacing w:after="60"/>
        <w:outlineLvl w:val="1"/>
        <w:rPr>
          <w:rFonts w:ascii="Century Gothic" w:hAnsi="Century Gothic" w:cs="Arial"/>
          <w:b/>
          <w:bCs/>
          <w:iCs/>
          <w:color w:val="auto"/>
          <w:sz w:val="24"/>
          <w:szCs w:val="24"/>
        </w:rPr>
      </w:pPr>
    </w:p>
    <w:p w:rsidR="00C26C09" w:rsidP="006E68B8">
      <w:pPr>
        <w:spacing w:after="60"/>
        <w:outlineLvl w:val="1"/>
        <w:rPr>
          <w:rFonts w:ascii="Century Gothic" w:hAnsi="Century Gothic" w:cs="Arial"/>
          <w:b/>
          <w:bCs/>
          <w:iCs/>
          <w:color w:val="auto"/>
          <w:sz w:val="24"/>
          <w:szCs w:val="24"/>
        </w:rPr>
      </w:pPr>
    </w:p>
    <w:p w:rsidR="00C26C09" w:rsidP="006E68B8">
      <w:pPr>
        <w:spacing w:after="60"/>
        <w:outlineLvl w:val="1"/>
        <w:rPr>
          <w:rFonts w:ascii="Century Gothic" w:hAnsi="Century Gothic" w:cs="Arial"/>
          <w:b/>
          <w:bCs/>
          <w:iCs/>
          <w:color w:val="auto"/>
          <w:sz w:val="24"/>
          <w:szCs w:val="24"/>
        </w:rPr>
      </w:pPr>
    </w:p>
    <w:p w:rsidR="00C26C09" w:rsidP="006E68B8">
      <w:pPr>
        <w:spacing w:after="60"/>
        <w:outlineLvl w:val="1"/>
        <w:rPr>
          <w:rFonts w:ascii="Century Gothic" w:hAnsi="Century Gothic" w:cs="Arial"/>
          <w:b/>
          <w:bCs/>
          <w:iCs/>
          <w:color w:val="auto"/>
          <w:sz w:val="24"/>
          <w:szCs w:val="24"/>
        </w:rPr>
      </w:pPr>
    </w:p>
    <w:p w:rsidR="00C26C09" w:rsidP="006E68B8">
      <w:pPr>
        <w:spacing w:after="60"/>
        <w:outlineLvl w:val="1"/>
        <w:rPr>
          <w:rFonts w:ascii="Century Gothic" w:hAnsi="Century Gothic" w:cs="Arial"/>
          <w:b/>
          <w:bCs/>
          <w:iCs/>
          <w:color w:val="auto"/>
          <w:sz w:val="24"/>
          <w:szCs w:val="24"/>
        </w:rPr>
      </w:pPr>
    </w:p>
    <w:p w:rsidR="00C26C09" w:rsidP="006E68B8">
      <w:pPr>
        <w:spacing w:after="60"/>
        <w:outlineLvl w:val="1"/>
        <w:rPr>
          <w:rFonts w:ascii="Century Gothic" w:hAnsi="Century Gothic" w:cs="Arial"/>
          <w:b/>
          <w:bCs/>
          <w:iCs/>
          <w:color w:val="auto"/>
          <w:sz w:val="24"/>
          <w:szCs w:val="24"/>
        </w:rPr>
      </w:pPr>
    </w:p>
    <w:p w:rsidR="00C26C09" w:rsidP="006E68B8">
      <w:pPr>
        <w:spacing w:after="60"/>
        <w:outlineLvl w:val="1"/>
        <w:rPr>
          <w:rFonts w:ascii="Century Gothic" w:hAnsi="Century Gothic" w:cs="Arial"/>
          <w:b/>
          <w:bCs/>
          <w:iCs/>
          <w:color w:val="auto"/>
          <w:sz w:val="24"/>
          <w:szCs w:val="24"/>
        </w:rPr>
      </w:pPr>
    </w:p>
    <w:p w:rsidR="00C26C09" w:rsidP="006E68B8">
      <w:pPr>
        <w:spacing w:after="60"/>
        <w:outlineLvl w:val="1"/>
        <w:rPr>
          <w:rFonts w:ascii="Century Gothic" w:hAnsi="Century Gothic" w:cs="Arial"/>
          <w:b/>
          <w:bCs/>
          <w:iCs/>
          <w:color w:val="auto"/>
          <w:sz w:val="24"/>
          <w:szCs w:val="24"/>
        </w:rPr>
      </w:pPr>
    </w:p>
    <w:p w:rsidR="00C26C09" w:rsidP="006E68B8">
      <w:pPr>
        <w:spacing w:after="60"/>
        <w:outlineLvl w:val="1"/>
        <w:rPr>
          <w:rFonts w:ascii="Century Gothic" w:hAnsi="Century Gothic" w:cs="Arial"/>
          <w:b/>
          <w:bCs/>
          <w:iCs/>
          <w:color w:val="auto"/>
          <w:sz w:val="24"/>
          <w:szCs w:val="24"/>
        </w:rPr>
      </w:pPr>
    </w:p>
    <w:p w:rsidR="00C26C09" w:rsidP="006E68B8">
      <w:pPr>
        <w:spacing w:after="60"/>
        <w:outlineLvl w:val="1"/>
        <w:rPr>
          <w:rFonts w:ascii="Century Gothic" w:hAnsi="Century Gothic" w:cs="Arial"/>
          <w:b/>
          <w:bCs/>
          <w:iCs/>
          <w:color w:val="auto"/>
          <w:sz w:val="24"/>
          <w:szCs w:val="24"/>
        </w:rPr>
      </w:pPr>
    </w:p>
    <w:p w:rsidR="00C26C09" w:rsidP="006E68B8">
      <w:pPr>
        <w:spacing w:after="60"/>
        <w:outlineLvl w:val="1"/>
        <w:rPr>
          <w:rFonts w:ascii="Century Gothic" w:hAnsi="Century Gothic" w:cs="Arial"/>
          <w:b/>
          <w:bCs/>
          <w:iCs/>
          <w:color w:val="auto"/>
          <w:sz w:val="24"/>
          <w:szCs w:val="24"/>
        </w:rPr>
      </w:pPr>
    </w:p>
    <w:p w:rsidR="00C26C09" w:rsidP="006E68B8">
      <w:pPr>
        <w:spacing w:after="60"/>
        <w:outlineLvl w:val="1"/>
        <w:rPr>
          <w:rFonts w:ascii="Century Gothic" w:hAnsi="Century Gothic" w:cs="Arial"/>
          <w:b/>
          <w:bCs/>
          <w:iCs/>
          <w:color w:val="auto"/>
          <w:sz w:val="24"/>
          <w:szCs w:val="24"/>
        </w:rPr>
      </w:pPr>
    </w:p>
    <w:p w:rsidR="00C26C09" w:rsidP="006E68B8">
      <w:pPr>
        <w:spacing w:after="60"/>
        <w:outlineLvl w:val="1"/>
        <w:rPr>
          <w:rFonts w:ascii="Century Gothic" w:hAnsi="Century Gothic" w:cs="Arial"/>
          <w:b/>
          <w:bCs/>
          <w:iCs/>
          <w:color w:val="auto"/>
          <w:sz w:val="24"/>
          <w:szCs w:val="24"/>
        </w:rPr>
      </w:pPr>
    </w:p>
    <w:p w:rsidR="00C26C09" w:rsidP="006E68B8">
      <w:pPr>
        <w:spacing w:after="60"/>
        <w:outlineLvl w:val="1"/>
        <w:rPr>
          <w:rFonts w:ascii="Century Gothic" w:hAnsi="Century Gothic" w:cs="Arial"/>
          <w:b/>
          <w:bCs/>
          <w:iCs/>
          <w:color w:val="auto"/>
          <w:sz w:val="24"/>
          <w:szCs w:val="24"/>
        </w:rPr>
      </w:pPr>
    </w:p>
    <w:p w:rsidR="006E68B8" w:rsidRPr="006E68B8" w:rsidP="006E68B8">
      <w:pPr>
        <w:spacing w:after="60"/>
        <w:outlineLvl w:val="1"/>
        <w:rPr>
          <w:rFonts w:ascii="Century Gothic" w:hAnsi="Century Gothic" w:cs="Arial"/>
          <w:b/>
          <w:bCs/>
          <w:iCs/>
          <w:color w:val="auto"/>
          <w:sz w:val="24"/>
          <w:szCs w:val="24"/>
        </w:rPr>
      </w:pPr>
      <w:r w:rsidRPr="006E68B8">
        <w:rPr>
          <w:rFonts w:ascii="Century Gothic" w:hAnsi="Century Gothic" w:cs="Arial"/>
          <w:b/>
          <w:bCs/>
          <w:iCs/>
          <w:color w:val="auto"/>
          <w:sz w:val="24"/>
          <w:szCs w:val="24"/>
        </w:rPr>
        <w:t>Current Process Flow</w:t>
      </w:r>
    </w:p>
    <w:p w:rsidR="006E68B8" w:rsidRPr="006E68B8" w:rsidP="006E68B8">
      <w:pPr>
        <w:spacing w:after="60"/>
        <w:outlineLvl w:val="1"/>
        <w:rPr>
          <w:rFonts w:ascii="Century Gothic" w:hAnsi="Century Gothic" w:cs="Arial"/>
          <w:bCs/>
          <w:iCs/>
          <w:color w:val="auto"/>
          <w:sz w:val="24"/>
          <w:szCs w:val="24"/>
        </w:rPr>
      </w:pPr>
      <w:r w:rsidRPr="006E68B8">
        <w:rPr>
          <w:rFonts w:ascii="Century Gothic" w:hAnsi="Century Gothic" w:cs="Arial"/>
          <w:bCs/>
          <w:iCs/>
          <w:noProof/>
          <w:color w:val="auto"/>
          <w:sz w:val="24"/>
          <w:szCs w:val="24"/>
          <w:lang w:eastAsia="en-GB"/>
        </w:rPr>
        <w:drawing>
          <wp:inline distT="0" distB="0" distL="0" distR="0">
            <wp:extent cx="5292090" cy="32461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806140" name="Picture 1"/>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292090" cy="3246120"/>
                    </a:xfrm>
                    <a:prstGeom prst="rect">
                      <a:avLst/>
                    </a:prstGeom>
                    <a:noFill/>
                    <a:ln>
                      <a:noFill/>
                    </a:ln>
                  </pic:spPr>
                </pic:pic>
              </a:graphicData>
            </a:graphic>
          </wp:inline>
        </w:drawing>
      </w:r>
    </w:p>
    <w:p w:rsidR="006E68B8" w:rsidRPr="006E68B8" w:rsidP="006E68B8">
      <w:pPr>
        <w:spacing w:after="60"/>
        <w:outlineLvl w:val="1"/>
        <w:rPr>
          <w:rFonts w:ascii="Century Gothic" w:hAnsi="Century Gothic" w:cs="Arial"/>
          <w:bCs/>
          <w:iCs/>
          <w:color w:val="auto"/>
          <w:sz w:val="24"/>
          <w:szCs w:val="24"/>
        </w:rPr>
      </w:pPr>
      <w:r w:rsidRPr="006E68B8">
        <w:rPr>
          <w:rFonts w:ascii="Century Gothic" w:hAnsi="Century Gothic" w:cs="Arial"/>
          <w:b/>
          <w:bCs/>
          <w:iCs/>
          <w:color w:val="auto"/>
          <w:sz w:val="24"/>
          <w:szCs w:val="24"/>
        </w:rPr>
        <w:t>New Process Flow</w:t>
      </w:r>
      <w:r w:rsidRPr="006E68B8">
        <w:rPr>
          <w:rFonts w:ascii="Century Gothic" w:hAnsi="Century Gothic" w:cs="Arial"/>
          <w:bCs/>
          <w:iCs/>
          <w:noProof/>
          <w:color w:val="auto"/>
          <w:sz w:val="24"/>
          <w:szCs w:val="24"/>
          <w:lang w:eastAsia="en-GB"/>
        </w:rPr>
        <w:drawing>
          <wp:inline distT="0" distB="0" distL="0" distR="0">
            <wp:extent cx="5394960" cy="3097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057645" name="Picture 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94960" cy="3097530"/>
                    </a:xfrm>
                    <a:prstGeom prst="rect">
                      <a:avLst/>
                    </a:prstGeom>
                    <a:noFill/>
                    <a:ln>
                      <a:noFill/>
                    </a:ln>
                  </pic:spPr>
                </pic:pic>
              </a:graphicData>
            </a:graphic>
          </wp:inline>
        </w:drawing>
      </w:r>
    </w:p>
    <w:p w:rsidR="006E68B8" w:rsidRPr="006E68B8" w:rsidP="006E68B8">
      <w:pPr>
        <w:spacing w:after="60"/>
        <w:outlineLvl w:val="1"/>
        <w:rPr>
          <w:rFonts w:ascii="Century Gothic" w:hAnsi="Century Gothic" w:cs="Arial"/>
          <w:bCs/>
          <w:iCs/>
          <w:color w:val="auto"/>
          <w:sz w:val="24"/>
          <w:szCs w:val="24"/>
        </w:rPr>
      </w:pPr>
      <w:r w:rsidRPr="006E68B8">
        <w:rPr>
          <w:rFonts w:ascii="Century Gothic" w:hAnsi="Century Gothic" w:cs="Arial"/>
          <w:bCs/>
          <w:iCs/>
          <w:color w:val="auto"/>
          <w:sz w:val="24"/>
          <w:szCs w:val="24"/>
        </w:rPr>
        <w:t>The initial estimated cashable efficiencies associated with the two environmental health processes amounts to approximately £10K. Once the new processes have been embedded it will be the responsibility of service leads to drive the efficiencies from their services and ultimately realise the benefits from the project.</w:t>
      </w:r>
    </w:p>
    <w:p w:rsidR="000420D5" w:rsidRPr="00C26C09" w:rsidP="000420D5">
      <w:pPr>
        <w:spacing w:after="60"/>
        <w:outlineLvl w:val="1"/>
        <w:rPr>
          <w:rFonts w:ascii="Century Gothic" w:hAnsi="Century Gothic" w:cs="Arial"/>
          <w:bCs/>
          <w:iCs/>
          <w:color w:val="auto"/>
          <w:sz w:val="24"/>
          <w:szCs w:val="24"/>
        </w:rPr>
      </w:pPr>
      <w:r w:rsidRPr="00C26C09">
        <w:rPr>
          <w:rFonts w:ascii="Century Gothic" w:hAnsi="Century Gothic" w:cs="Arial"/>
          <w:bCs/>
          <w:iCs/>
          <w:sz w:val="24"/>
          <w:szCs w:val="24"/>
        </w:rPr>
        <w:t>The above process mapping exercise demonstrates the potential cashable efficiency savings that could be realised. Further work is required in this area however it is reasonable to assume that similar cashable efficiency savings could be realised in a number of other service areas potentially generating a further £40k in efficiency savings</w:t>
      </w:r>
      <w:r>
        <w:rPr>
          <w:rFonts w:ascii="Century Gothic" w:hAnsi="Century Gothic" w:cs="Arial"/>
          <w:bCs/>
          <w:iCs/>
          <w:sz w:val="24"/>
          <w:szCs w:val="24"/>
        </w:rPr>
        <w:t>.</w:t>
      </w:r>
    </w:p>
    <w:p w:rsidR="000420D5" w:rsidRPr="000420D5" w:rsidP="000420D5">
      <w:pPr>
        <w:spacing w:after="60"/>
        <w:outlineLvl w:val="1"/>
        <w:rPr>
          <w:rFonts w:ascii="Century Gothic" w:hAnsi="Century Gothic" w:cs="Arial"/>
          <w:bCs/>
          <w:iCs/>
          <w:color w:val="auto"/>
          <w:sz w:val="24"/>
          <w:szCs w:val="24"/>
        </w:rPr>
      </w:pPr>
      <w:r w:rsidRPr="000420D5">
        <w:rPr>
          <w:rFonts w:ascii="Century Gothic" w:hAnsi="Century Gothic" w:cs="Arial"/>
          <w:bCs/>
          <w:iCs/>
          <w:color w:val="auto"/>
          <w:sz w:val="24"/>
          <w:szCs w:val="24"/>
        </w:rPr>
        <w:t xml:space="preserve">The North Yorkshire Building Control Partnership chose IDOX Uniform as their core back office </w:t>
      </w:r>
      <w:r w:rsidRPr="0077486A">
        <w:rPr>
          <w:rFonts w:ascii="Century Gothic" w:hAnsi="Century Gothic" w:cs="Arial"/>
          <w:bCs/>
          <w:iCs/>
          <w:color w:val="auto"/>
          <w:sz w:val="24"/>
          <w:szCs w:val="24"/>
        </w:rPr>
        <w:t>system following a merger of 5 local authority building control services</w:t>
      </w:r>
      <w:r w:rsidRPr="0077486A" w:rsidR="0077486A">
        <w:rPr>
          <w:rFonts w:ascii="Century Gothic" w:hAnsi="Century Gothic" w:cs="Arial"/>
          <w:bCs/>
          <w:iCs/>
          <w:color w:val="auto"/>
          <w:sz w:val="24"/>
          <w:szCs w:val="24"/>
        </w:rPr>
        <w:t xml:space="preserve">, </w:t>
      </w:r>
      <w:r w:rsidRPr="0077486A" w:rsidR="0077486A">
        <w:rPr>
          <w:rFonts w:ascii="Century Gothic" w:hAnsi="Century Gothic" w:cs="Arial"/>
          <w:bCs/>
          <w:iCs/>
          <w:sz w:val="24"/>
          <w:szCs w:val="24"/>
        </w:rPr>
        <w:t>the merger along with the implementation of IDOX Enterprise enabled the below efficiencies</w:t>
      </w:r>
      <w:r w:rsidRPr="0077486A">
        <w:rPr>
          <w:rFonts w:ascii="Century Gothic" w:hAnsi="Century Gothic" w:cs="Arial"/>
          <w:bCs/>
          <w:iCs/>
          <w:color w:val="auto"/>
          <w:sz w:val="24"/>
          <w:szCs w:val="24"/>
        </w:rPr>
        <w:t>:</w:t>
      </w:r>
    </w:p>
    <w:p w:rsidR="000420D5" w:rsidRPr="000420D5" w:rsidP="000420D5">
      <w:pPr>
        <w:spacing w:after="60"/>
        <w:outlineLvl w:val="1"/>
        <w:rPr>
          <w:rFonts w:ascii="Century Gothic" w:hAnsi="Century Gothic" w:cs="Arial"/>
          <w:bCs/>
          <w:iCs/>
          <w:color w:val="auto"/>
          <w:sz w:val="24"/>
          <w:szCs w:val="24"/>
        </w:rPr>
      </w:pPr>
    </w:p>
    <w:p w:rsidR="000420D5" w:rsidRPr="000420D5" w:rsidP="000420D5">
      <w:pPr>
        <w:pStyle w:val="ListParagraph"/>
        <w:numPr>
          <w:ilvl w:val="0"/>
          <w:numId w:val="35"/>
        </w:numPr>
        <w:spacing w:after="60"/>
        <w:ind w:left="1440"/>
        <w:outlineLvl w:val="1"/>
        <w:rPr>
          <w:rFonts w:ascii="Century Gothic" w:eastAsia="Times New Roman" w:hAnsi="Century Gothic" w:cs="Arial"/>
          <w:bCs/>
          <w:iCs/>
          <w:color w:val="auto"/>
          <w:sz w:val="24"/>
          <w:szCs w:val="24"/>
        </w:rPr>
      </w:pPr>
      <w:r w:rsidRPr="000420D5">
        <w:rPr>
          <w:rFonts w:ascii="Century Gothic" w:eastAsia="Times New Roman" w:hAnsi="Century Gothic" w:cs="Arial"/>
          <w:bCs/>
          <w:iCs/>
          <w:color w:val="auto"/>
          <w:sz w:val="24"/>
          <w:szCs w:val="24"/>
        </w:rPr>
        <w:t>55% of applications received electronically</w:t>
      </w:r>
    </w:p>
    <w:p w:rsidR="000420D5" w:rsidRPr="000420D5" w:rsidP="000420D5">
      <w:pPr>
        <w:pStyle w:val="ListParagraph"/>
        <w:numPr>
          <w:ilvl w:val="0"/>
          <w:numId w:val="35"/>
        </w:numPr>
        <w:spacing w:after="60"/>
        <w:ind w:left="1440"/>
        <w:outlineLvl w:val="1"/>
        <w:rPr>
          <w:rFonts w:ascii="Century Gothic" w:eastAsia="Times New Roman" w:hAnsi="Century Gothic" w:cs="Arial"/>
          <w:bCs/>
          <w:iCs/>
          <w:color w:val="auto"/>
          <w:sz w:val="24"/>
          <w:szCs w:val="24"/>
        </w:rPr>
      </w:pPr>
      <w:r w:rsidRPr="000420D5">
        <w:rPr>
          <w:rFonts w:ascii="Century Gothic" w:eastAsia="Times New Roman" w:hAnsi="Century Gothic" w:cs="Arial"/>
          <w:bCs/>
          <w:iCs/>
          <w:color w:val="auto"/>
          <w:sz w:val="24"/>
          <w:szCs w:val="24"/>
        </w:rPr>
        <w:t>£7,000 per annum saved on printing and postage</w:t>
      </w:r>
    </w:p>
    <w:p w:rsidR="000420D5" w:rsidRPr="000420D5" w:rsidP="000420D5">
      <w:pPr>
        <w:pStyle w:val="ListParagraph"/>
        <w:numPr>
          <w:ilvl w:val="0"/>
          <w:numId w:val="35"/>
        </w:numPr>
        <w:spacing w:after="60"/>
        <w:ind w:left="1440"/>
        <w:outlineLvl w:val="1"/>
        <w:rPr>
          <w:rFonts w:ascii="Century Gothic" w:eastAsia="Times New Roman" w:hAnsi="Century Gothic" w:cs="Arial"/>
          <w:bCs/>
          <w:iCs/>
          <w:color w:val="auto"/>
          <w:sz w:val="24"/>
          <w:szCs w:val="24"/>
        </w:rPr>
      </w:pPr>
      <w:r w:rsidRPr="000420D5">
        <w:rPr>
          <w:rFonts w:ascii="Century Gothic" w:eastAsia="Times New Roman" w:hAnsi="Century Gothic" w:cs="Arial"/>
          <w:bCs/>
          <w:iCs/>
          <w:color w:val="auto"/>
          <w:sz w:val="24"/>
          <w:szCs w:val="24"/>
        </w:rPr>
        <w:t>93% completion certificates issued within 5 working days (up from 78%)</w:t>
      </w:r>
    </w:p>
    <w:p w:rsidR="000420D5" w:rsidRPr="000420D5" w:rsidP="000420D5">
      <w:pPr>
        <w:pStyle w:val="ListParagraph"/>
        <w:numPr>
          <w:ilvl w:val="0"/>
          <w:numId w:val="35"/>
        </w:numPr>
        <w:spacing w:after="60"/>
        <w:ind w:left="1440"/>
        <w:outlineLvl w:val="1"/>
        <w:rPr>
          <w:rFonts w:ascii="Century Gothic" w:eastAsia="Times New Roman" w:hAnsi="Century Gothic" w:cs="Arial"/>
          <w:bCs/>
          <w:iCs/>
          <w:color w:val="auto"/>
          <w:sz w:val="24"/>
          <w:szCs w:val="24"/>
        </w:rPr>
      </w:pPr>
      <w:r w:rsidRPr="000420D5">
        <w:rPr>
          <w:rFonts w:ascii="Century Gothic" w:eastAsia="Times New Roman" w:hAnsi="Century Gothic" w:cs="Arial"/>
          <w:bCs/>
          <w:iCs/>
          <w:color w:val="auto"/>
          <w:sz w:val="24"/>
          <w:szCs w:val="24"/>
        </w:rPr>
        <w:t>Positive environmental impact due to officers no longer needing to visit the office to access the IDOX system</w:t>
      </w:r>
    </w:p>
    <w:p w:rsidR="000420D5" w:rsidRPr="000420D5" w:rsidP="000420D5">
      <w:pPr>
        <w:pStyle w:val="ListParagraph"/>
        <w:spacing w:after="60"/>
        <w:ind w:left="0"/>
        <w:outlineLvl w:val="1"/>
        <w:rPr>
          <w:rFonts w:ascii="Century Gothic" w:eastAsia="Times New Roman" w:hAnsi="Century Gothic" w:cs="Arial"/>
          <w:bCs/>
          <w:iCs/>
          <w:color w:val="auto"/>
          <w:sz w:val="24"/>
          <w:szCs w:val="24"/>
        </w:rPr>
      </w:pPr>
    </w:p>
    <w:p w:rsidR="000420D5" w:rsidRPr="000420D5" w:rsidP="000420D5">
      <w:pPr>
        <w:spacing w:after="60"/>
        <w:outlineLvl w:val="1"/>
        <w:rPr>
          <w:rFonts w:ascii="Century Gothic" w:hAnsi="Century Gothic" w:cs="Arial"/>
          <w:bCs/>
          <w:iCs/>
          <w:color w:val="auto"/>
          <w:sz w:val="24"/>
          <w:szCs w:val="24"/>
        </w:rPr>
      </w:pPr>
      <w:r w:rsidRPr="000420D5">
        <w:rPr>
          <w:rFonts w:ascii="Century Gothic" w:hAnsi="Century Gothic" w:cs="Arial"/>
          <w:bCs/>
          <w:iCs/>
          <w:color w:val="auto"/>
          <w:sz w:val="24"/>
          <w:szCs w:val="24"/>
        </w:rPr>
        <w:t>The Project Team have spoken to other councils who have implemented IDOX Enterprise and DMS. Solihull Council implemented Enterprise and DMS in 2014 which enabled several key benefits, including:</w:t>
      </w:r>
    </w:p>
    <w:p w:rsidR="000420D5" w:rsidRPr="000420D5" w:rsidP="000420D5">
      <w:pPr>
        <w:spacing w:after="60"/>
        <w:outlineLvl w:val="1"/>
        <w:rPr>
          <w:rFonts w:ascii="Century Gothic" w:hAnsi="Century Gothic" w:cs="Arial"/>
          <w:bCs/>
          <w:iCs/>
          <w:color w:val="auto"/>
          <w:sz w:val="24"/>
          <w:szCs w:val="24"/>
        </w:rPr>
      </w:pPr>
    </w:p>
    <w:p w:rsidR="000420D5" w:rsidRPr="000420D5" w:rsidP="000420D5">
      <w:pPr>
        <w:pStyle w:val="ListParagraph"/>
        <w:numPr>
          <w:ilvl w:val="0"/>
          <w:numId w:val="33"/>
        </w:numPr>
        <w:spacing w:after="60"/>
        <w:ind w:left="1440"/>
        <w:outlineLvl w:val="1"/>
        <w:rPr>
          <w:rFonts w:ascii="Century Gothic" w:eastAsia="Times New Roman" w:hAnsi="Century Gothic" w:cs="Arial"/>
          <w:bCs/>
          <w:iCs/>
          <w:color w:val="auto"/>
          <w:sz w:val="24"/>
          <w:szCs w:val="24"/>
        </w:rPr>
      </w:pPr>
      <w:r w:rsidRPr="000420D5">
        <w:rPr>
          <w:rFonts w:ascii="Century Gothic" w:eastAsia="Times New Roman" w:hAnsi="Century Gothic" w:cs="Arial"/>
          <w:bCs/>
          <w:iCs/>
          <w:color w:val="auto"/>
          <w:sz w:val="24"/>
          <w:szCs w:val="24"/>
        </w:rPr>
        <w:t>All Planning and Building Control documents to be fully digitised, creating a paperless service</w:t>
      </w:r>
    </w:p>
    <w:p w:rsidR="000420D5" w:rsidRPr="000420D5" w:rsidP="000420D5">
      <w:pPr>
        <w:pStyle w:val="ListParagraph"/>
        <w:numPr>
          <w:ilvl w:val="0"/>
          <w:numId w:val="33"/>
        </w:numPr>
        <w:spacing w:after="60"/>
        <w:ind w:left="1440"/>
        <w:outlineLvl w:val="1"/>
        <w:rPr>
          <w:rFonts w:ascii="Century Gothic" w:eastAsia="Times New Roman" w:hAnsi="Century Gothic" w:cs="Arial"/>
          <w:bCs/>
          <w:iCs/>
          <w:color w:val="auto"/>
          <w:sz w:val="24"/>
          <w:szCs w:val="24"/>
        </w:rPr>
      </w:pPr>
      <w:r w:rsidRPr="000420D5">
        <w:rPr>
          <w:rFonts w:ascii="Century Gothic" w:eastAsia="Times New Roman" w:hAnsi="Century Gothic" w:cs="Arial"/>
          <w:bCs/>
          <w:iCs/>
          <w:color w:val="auto"/>
          <w:sz w:val="24"/>
          <w:szCs w:val="24"/>
        </w:rPr>
        <w:t>The reduction in paper and document storage also enabled the service to move to a smaller premises</w:t>
      </w:r>
    </w:p>
    <w:p w:rsidR="000420D5" w:rsidRPr="000420D5" w:rsidP="000420D5">
      <w:pPr>
        <w:pStyle w:val="ListParagraph"/>
        <w:numPr>
          <w:ilvl w:val="0"/>
          <w:numId w:val="33"/>
        </w:numPr>
        <w:spacing w:after="60"/>
        <w:ind w:left="1440"/>
        <w:outlineLvl w:val="1"/>
        <w:rPr>
          <w:rFonts w:ascii="Century Gothic" w:eastAsia="Times New Roman" w:hAnsi="Century Gothic" w:cs="Arial"/>
          <w:bCs/>
          <w:iCs/>
          <w:color w:val="auto"/>
          <w:sz w:val="24"/>
          <w:szCs w:val="24"/>
        </w:rPr>
      </w:pPr>
      <w:r w:rsidRPr="000420D5">
        <w:rPr>
          <w:rFonts w:ascii="Century Gothic" w:eastAsia="Times New Roman" w:hAnsi="Century Gothic" w:cs="Arial"/>
          <w:bCs/>
          <w:iCs/>
          <w:color w:val="auto"/>
          <w:sz w:val="24"/>
          <w:szCs w:val="24"/>
        </w:rPr>
        <w:t>Enterprise is used to streamline the planning application process and assign tasks to officers more easily</w:t>
      </w:r>
    </w:p>
    <w:p w:rsidR="000420D5" w:rsidRPr="000420D5" w:rsidP="000420D5">
      <w:pPr>
        <w:pStyle w:val="ListParagraph"/>
        <w:numPr>
          <w:ilvl w:val="0"/>
          <w:numId w:val="33"/>
        </w:numPr>
        <w:spacing w:after="60"/>
        <w:ind w:left="1440"/>
        <w:outlineLvl w:val="1"/>
        <w:rPr>
          <w:rFonts w:ascii="Century Gothic" w:eastAsia="Times New Roman" w:hAnsi="Century Gothic" w:cs="Arial"/>
          <w:bCs/>
          <w:iCs/>
          <w:color w:val="auto"/>
          <w:sz w:val="24"/>
          <w:szCs w:val="24"/>
        </w:rPr>
      </w:pPr>
      <w:r w:rsidRPr="000420D5">
        <w:rPr>
          <w:rFonts w:ascii="Century Gothic" w:eastAsia="Times New Roman" w:hAnsi="Century Gothic" w:cs="Arial"/>
          <w:bCs/>
          <w:iCs/>
          <w:color w:val="auto"/>
          <w:sz w:val="24"/>
          <w:szCs w:val="24"/>
        </w:rPr>
        <w:t>Performance can be monitored in real time to provide accurate KPI data amongst individuals or groups</w:t>
      </w:r>
    </w:p>
    <w:p w:rsidR="000420D5" w:rsidRPr="000420D5" w:rsidP="000420D5">
      <w:pPr>
        <w:pStyle w:val="ListParagraph"/>
        <w:spacing w:after="60"/>
        <w:outlineLvl w:val="1"/>
        <w:rPr>
          <w:rFonts w:ascii="Century Gothic" w:eastAsia="Times New Roman" w:hAnsi="Century Gothic" w:cs="Arial"/>
          <w:bCs/>
          <w:iCs/>
          <w:color w:val="auto"/>
          <w:sz w:val="24"/>
          <w:szCs w:val="24"/>
        </w:rPr>
      </w:pPr>
    </w:p>
    <w:p w:rsidR="000420D5" w:rsidRPr="000420D5" w:rsidP="000420D5">
      <w:pPr>
        <w:outlineLvl w:val="1"/>
        <w:rPr>
          <w:rFonts w:ascii="Century Gothic" w:hAnsi="Century Gothic" w:cs="Arial"/>
          <w:bCs/>
          <w:iCs/>
          <w:color w:val="auto"/>
          <w:sz w:val="24"/>
          <w:szCs w:val="24"/>
        </w:rPr>
      </w:pPr>
      <w:r w:rsidRPr="000420D5">
        <w:rPr>
          <w:rFonts w:ascii="Century Gothic" w:hAnsi="Century Gothic" w:cs="Arial"/>
          <w:bCs/>
          <w:iCs/>
          <w:color w:val="auto"/>
          <w:sz w:val="24"/>
          <w:szCs w:val="24"/>
        </w:rPr>
        <w:t>Lincolnshire Building Control also saw an efficiency saving of approximately 170 hours per month on administration which was now automated as part of the IDOX Enterprise function.</w:t>
      </w:r>
    </w:p>
    <w:p w:rsidR="0025166A" w:rsidP="0025166A">
      <w:pPr>
        <w:rPr>
          <w:rFonts w:ascii="Century Gothic" w:eastAsia="Times New Roman" w:hAnsi="Century Gothic" w:cs="Arial"/>
          <w:b/>
          <w:bCs/>
          <w:iCs/>
          <w:color w:val="auto"/>
          <w:sz w:val="32"/>
          <w:szCs w:val="20"/>
        </w:rPr>
      </w:pPr>
    </w:p>
    <w:p w:rsidR="000420D5" w:rsidRPr="0025166A" w:rsidP="0025166A">
      <w:pPr>
        <w:rPr>
          <w:rFonts w:ascii="Century Gothic" w:eastAsia="Times New Roman" w:hAnsi="Century Gothic" w:cs="Arial"/>
          <w:b/>
          <w:bCs/>
          <w:iCs/>
          <w:color w:val="auto"/>
          <w:sz w:val="32"/>
          <w:szCs w:val="20"/>
        </w:rPr>
      </w:pPr>
      <w:r w:rsidRPr="000420D5">
        <w:rPr>
          <w:rFonts w:ascii="Century Gothic" w:hAnsi="Century Gothic" w:cs="Arial"/>
          <w:b/>
          <w:bCs/>
          <w:iCs/>
          <w:sz w:val="32"/>
        </w:rPr>
        <w:t>Shared Services Considerations</w:t>
      </w:r>
    </w:p>
    <w:p w:rsidR="000420D5" w:rsidP="000420D5">
      <w:pPr>
        <w:spacing w:after="60"/>
        <w:jc w:val="both"/>
        <w:outlineLvl w:val="1"/>
        <w:rPr>
          <w:rFonts w:ascii="Century Gothic" w:hAnsi="Century Gothic" w:cs="Arial"/>
          <w:bCs/>
          <w:iCs/>
        </w:rPr>
      </w:pPr>
      <w:r>
        <w:rPr>
          <w:rFonts w:ascii="Century Gothic" w:hAnsi="Century Gothic" w:cs="Arial"/>
          <w:bCs/>
          <w:iCs/>
        </w:rPr>
        <w:t xml:space="preserve">Whilst this project is being undertaken by South </w:t>
      </w:r>
      <w:r>
        <w:rPr>
          <w:rFonts w:ascii="Century Gothic" w:hAnsi="Century Gothic" w:cs="Arial"/>
          <w:bCs/>
          <w:iCs/>
        </w:rPr>
        <w:t>Ribble</w:t>
      </w:r>
      <w:r>
        <w:rPr>
          <w:rFonts w:ascii="Century Gothic" w:hAnsi="Century Gothic" w:cs="Arial"/>
          <w:bCs/>
          <w:iCs/>
        </w:rPr>
        <w:t xml:space="preserve"> only, Chorley have already implemented IDOX Enterprise and IDOX EDRMS, and are a user of IDOX Licensing and Public Access for Licensing. This project will further align the systems between both councils acting as an enabler for any future shared services. It is also proposed that any newly negotiated IDOX contract will be over an 18 month to 2 year period to align South </w:t>
      </w:r>
      <w:r>
        <w:rPr>
          <w:rFonts w:ascii="Century Gothic" w:hAnsi="Century Gothic" w:cs="Arial"/>
          <w:bCs/>
          <w:iCs/>
        </w:rPr>
        <w:t>Ribble</w:t>
      </w:r>
      <w:r>
        <w:rPr>
          <w:rFonts w:ascii="Century Gothic" w:hAnsi="Century Gothic" w:cs="Arial"/>
          <w:bCs/>
          <w:iCs/>
        </w:rPr>
        <w:t xml:space="preserve"> and Chorley contract dates.</w:t>
      </w:r>
    </w:p>
    <w:p w:rsidR="000420D5" w:rsidP="000420D5">
      <w:pPr>
        <w:keepNext/>
        <w:spacing w:after="60"/>
        <w:jc w:val="both"/>
        <w:outlineLvl w:val="1"/>
        <w:rPr>
          <w:rFonts w:ascii="Century Gothic" w:hAnsi="Century Gothic" w:cs="Arial"/>
          <w:bCs/>
          <w:iCs/>
        </w:rPr>
      </w:pPr>
    </w:p>
    <w:p w:rsidR="000420D5" w:rsidP="000420D5">
      <w:pPr>
        <w:spacing w:after="60"/>
        <w:jc w:val="both"/>
        <w:outlineLvl w:val="1"/>
        <w:rPr>
          <w:rFonts w:ascii="Century Gothic" w:hAnsi="Century Gothic" w:cs="Arial"/>
          <w:bCs/>
          <w:iCs/>
        </w:rPr>
      </w:pPr>
      <w:r>
        <w:rPr>
          <w:rFonts w:ascii="Century Gothic" w:hAnsi="Century Gothic" w:cs="Arial"/>
          <w:bCs/>
          <w:iCs/>
        </w:rPr>
        <w:t>Utilising Public Access for Licensing and IDOX EDRMS will also ensure that residents and businesses are familiar with the same systems between authorities providing benefits as the shared CMS project is delivered.</w:t>
      </w:r>
    </w:p>
    <w:p w:rsidR="000420D5" w:rsidP="000420D5">
      <w:pPr>
        <w:keepNext/>
        <w:spacing w:after="60"/>
        <w:jc w:val="both"/>
        <w:outlineLvl w:val="1"/>
        <w:rPr>
          <w:rFonts w:ascii="Century Gothic" w:hAnsi="Century Gothic" w:cs="Arial"/>
          <w:bCs/>
          <w:iCs/>
        </w:rPr>
      </w:pPr>
    </w:p>
    <w:p w:rsidR="000420D5" w:rsidRPr="000420D5" w:rsidP="000420D5">
      <w:pPr>
        <w:spacing w:after="60"/>
        <w:jc w:val="both"/>
        <w:outlineLvl w:val="1"/>
        <w:rPr>
          <w:rFonts w:ascii="Century Gothic" w:hAnsi="Century Gothic" w:cs="Arial"/>
          <w:b/>
          <w:bCs/>
          <w:iCs/>
          <w:sz w:val="32"/>
        </w:rPr>
      </w:pPr>
      <w:r w:rsidRPr="000420D5">
        <w:rPr>
          <w:rFonts w:ascii="Century Gothic" w:hAnsi="Century Gothic" w:cs="Arial"/>
          <w:b/>
          <w:bCs/>
          <w:iCs/>
          <w:sz w:val="32"/>
        </w:rPr>
        <w:t>Human Resources</w:t>
      </w:r>
    </w:p>
    <w:p w:rsidR="000420D5" w:rsidRPr="000420D5" w:rsidP="000420D5">
      <w:pPr>
        <w:keepNext/>
        <w:spacing w:after="60"/>
        <w:jc w:val="both"/>
        <w:outlineLvl w:val="1"/>
        <w:rPr>
          <w:rFonts w:ascii="Century Gothic" w:hAnsi="Century Gothic" w:cs="Arial"/>
          <w:bCs/>
          <w:iCs/>
          <w:color w:val="auto"/>
          <w:szCs w:val="24"/>
        </w:rPr>
      </w:pPr>
      <w:r w:rsidRPr="000420D5">
        <w:rPr>
          <w:rFonts w:ascii="Century Gothic" w:hAnsi="Century Gothic" w:cs="Arial"/>
          <w:bCs/>
          <w:iCs/>
          <w:color w:val="auto"/>
          <w:szCs w:val="24"/>
        </w:rPr>
        <w:t xml:space="preserve">There will be considerable process and culture changes through the introduction of IDOX Enterprise which will need to be supported through training and support. HR will be involved </w:t>
      </w:r>
      <w:r w:rsidRPr="000420D5">
        <w:rPr>
          <w:rFonts w:ascii="Century Gothic" w:hAnsi="Century Gothic" w:cs="Arial"/>
          <w:bCs/>
          <w:iCs/>
          <w:color w:val="auto"/>
          <w:szCs w:val="24"/>
        </w:rPr>
        <w:t>throughout this project and have been assigned a role on the project team to provide advice and support.</w:t>
      </w:r>
    </w:p>
    <w:p w:rsidR="000420D5" w:rsidRPr="000420D5" w:rsidP="000420D5">
      <w:pPr>
        <w:keepNext/>
        <w:spacing w:after="60"/>
        <w:jc w:val="both"/>
        <w:outlineLvl w:val="1"/>
        <w:rPr>
          <w:rFonts w:ascii="Century Gothic" w:hAnsi="Century Gothic" w:cs="Arial"/>
          <w:bCs/>
          <w:iCs/>
          <w:color w:val="auto"/>
          <w:szCs w:val="24"/>
        </w:rPr>
      </w:pPr>
    </w:p>
    <w:p w:rsidR="000420D5" w:rsidRPr="000420D5" w:rsidP="000420D5">
      <w:pPr>
        <w:keepNext/>
        <w:spacing w:after="60"/>
        <w:jc w:val="both"/>
        <w:outlineLvl w:val="1"/>
        <w:rPr>
          <w:rFonts w:ascii="Century Gothic" w:hAnsi="Century Gothic" w:cs="Arial"/>
          <w:bCs/>
          <w:iCs/>
          <w:color w:val="auto"/>
          <w:szCs w:val="24"/>
        </w:rPr>
      </w:pPr>
      <w:r w:rsidRPr="000420D5">
        <w:rPr>
          <w:rFonts w:ascii="Century Gothic" w:hAnsi="Century Gothic" w:cs="Arial"/>
          <w:bCs/>
          <w:iCs/>
          <w:color w:val="auto"/>
          <w:szCs w:val="24"/>
        </w:rPr>
        <w:t xml:space="preserve">A new post has been proposed in line with the job description and person specification. HR will be required to undertake a job evaluation process and facilitate the creation of this post. It is proposed that this role is funded on a full time, permanent basis funded from existing resources and advertised internally to </w:t>
      </w:r>
      <w:r w:rsidRPr="000420D5">
        <w:rPr>
          <w:rFonts w:ascii="Century Gothic" w:hAnsi="Century Gothic" w:cs="Arial"/>
          <w:bCs/>
          <w:iCs/>
          <w:color w:val="auto"/>
          <w:szCs w:val="24"/>
        </w:rPr>
        <w:t>reuce</w:t>
      </w:r>
      <w:r w:rsidRPr="000420D5">
        <w:rPr>
          <w:rFonts w:ascii="Century Gothic" w:hAnsi="Century Gothic" w:cs="Arial"/>
          <w:bCs/>
          <w:iCs/>
          <w:color w:val="auto"/>
          <w:szCs w:val="24"/>
        </w:rPr>
        <w:t xml:space="preserve"> the time taken to fill this role..</w:t>
      </w:r>
    </w:p>
    <w:p w:rsidR="000420D5" w:rsidRPr="000420D5" w:rsidP="000420D5">
      <w:pPr>
        <w:keepNext/>
        <w:spacing w:after="60"/>
        <w:jc w:val="both"/>
        <w:outlineLvl w:val="1"/>
        <w:rPr>
          <w:rFonts w:ascii="Century Gothic" w:hAnsi="Century Gothic" w:cs="Arial"/>
          <w:bCs/>
          <w:iCs/>
          <w:color w:val="auto"/>
          <w:szCs w:val="24"/>
        </w:rPr>
      </w:pPr>
    </w:p>
    <w:p w:rsidR="000420D5" w:rsidRPr="000420D5" w:rsidP="000420D5">
      <w:pPr>
        <w:spacing w:after="60"/>
        <w:jc w:val="both"/>
        <w:outlineLvl w:val="1"/>
        <w:rPr>
          <w:rFonts w:ascii="Century Gothic" w:hAnsi="Century Gothic" w:cs="Arial"/>
          <w:bCs/>
          <w:iCs/>
          <w:color w:val="auto"/>
          <w:szCs w:val="24"/>
        </w:rPr>
      </w:pPr>
      <w:r w:rsidRPr="000420D5">
        <w:rPr>
          <w:rFonts w:ascii="Century Gothic" w:hAnsi="Century Gothic" w:cs="Arial"/>
          <w:bCs/>
          <w:iCs/>
          <w:color w:val="auto"/>
          <w:szCs w:val="24"/>
        </w:rPr>
        <w:t xml:space="preserve">Whilst this project is being undertaken by South </w:t>
      </w:r>
      <w:r w:rsidRPr="000420D5">
        <w:rPr>
          <w:rFonts w:ascii="Century Gothic" w:hAnsi="Century Gothic" w:cs="Arial"/>
          <w:bCs/>
          <w:iCs/>
          <w:color w:val="auto"/>
          <w:szCs w:val="24"/>
        </w:rPr>
        <w:t>Ribble</w:t>
      </w:r>
      <w:r w:rsidRPr="000420D5">
        <w:rPr>
          <w:rFonts w:ascii="Century Gothic" w:hAnsi="Century Gothic" w:cs="Arial"/>
          <w:bCs/>
          <w:iCs/>
          <w:color w:val="auto"/>
          <w:szCs w:val="24"/>
        </w:rPr>
        <w:t xml:space="preserve"> only, Chorley have already implemented IDOX Enterprise and IDOX EDRMS, and are a user of IDOX Licensing and Public Access for Licensing. This project will further align the systems between both councils acting as an enabler for any future shared services. It is also proposed that any newly negotiated IDOX contract will be over an 18 month to 2 year period to align South </w:t>
      </w:r>
      <w:r w:rsidRPr="000420D5">
        <w:rPr>
          <w:rFonts w:ascii="Century Gothic" w:hAnsi="Century Gothic" w:cs="Arial"/>
          <w:bCs/>
          <w:iCs/>
          <w:color w:val="auto"/>
          <w:szCs w:val="24"/>
        </w:rPr>
        <w:t>Ribble</w:t>
      </w:r>
      <w:r w:rsidRPr="000420D5">
        <w:rPr>
          <w:rFonts w:ascii="Century Gothic" w:hAnsi="Century Gothic" w:cs="Arial"/>
          <w:bCs/>
          <w:iCs/>
          <w:color w:val="auto"/>
          <w:szCs w:val="24"/>
        </w:rPr>
        <w:t xml:space="preserve"> and Chorley contract dates.</w:t>
      </w:r>
    </w:p>
    <w:p w:rsidR="000420D5" w:rsidRPr="00F7461C" w:rsidP="000420D5">
      <w:pPr>
        <w:keepNext/>
        <w:spacing w:after="60"/>
        <w:jc w:val="both"/>
        <w:outlineLvl w:val="1"/>
        <w:rPr>
          <w:rFonts w:ascii="Century Gothic" w:hAnsi="Century Gothic" w:cs="Arial"/>
          <w:b/>
          <w:bCs/>
          <w:iCs/>
          <w:sz w:val="24"/>
        </w:rPr>
      </w:pPr>
    </w:p>
    <w:p w:rsidR="000420D5" w:rsidRPr="000420D5" w:rsidP="000420D5">
      <w:pPr>
        <w:keepNext/>
        <w:spacing w:after="60"/>
        <w:jc w:val="both"/>
        <w:outlineLvl w:val="1"/>
        <w:rPr>
          <w:rFonts w:ascii="Century Gothic" w:hAnsi="Century Gothic" w:cs="Arial"/>
          <w:b/>
          <w:bCs/>
          <w:iCs/>
          <w:sz w:val="32"/>
        </w:rPr>
      </w:pPr>
      <w:r w:rsidRPr="000420D5">
        <w:rPr>
          <w:rFonts w:ascii="Century Gothic" w:hAnsi="Century Gothic" w:cs="Arial"/>
          <w:b/>
          <w:bCs/>
          <w:iCs/>
          <w:sz w:val="32"/>
        </w:rPr>
        <w:t>Legal and Procurement</w:t>
      </w:r>
    </w:p>
    <w:p w:rsidR="000420D5" w:rsidP="000420D5">
      <w:pPr>
        <w:keepNext/>
        <w:spacing w:after="60"/>
        <w:jc w:val="both"/>
        <w:outlineLvl w:val="1"/>
        <w:rPr>
          <w:rFonts w:ascii="Century Gothic" w:hAnsi="Century Gothic" w:cs="Arial"/>
          <w:bCs/>
          <w:iCs/>
        </w:rPr>
      </w:pPr>
      <w:r>
        <w:rPr>
          <w:rFonts w:ascii="Century Gothic" w:hAnsi="Century Gothic" w:cs="Arial"/>
          <w:bCs/>
          <w:iCs/>
        </w:rPr>
        <w:t xml:space="preserve">As the provisions included within the scope of this project can only be supplied by IDOX, and the associated costs fall under the EU threshold of £181,302 one procurement route would be to use a framework agreement which would allow a compliant direct award process. Alternatively a waiver of CPR rules would need to be obtained. As the value is over £100k the decision would need to go before Cabinet for approval. </w:t>
      </w:r>
    </w:p>
    <w:p w:rsidR="000420D5" w:rsidP="000420D5">
      <w:pPr>
        <w:keepNext/>
        <w:spacing w:after="60"/>
        <w:jc w:val="both"/>
        <w:outlineLvl w:val="1"/>
        <w:rPr>
          <w:rFonts w:ascii="Century Gothic" w:hAnsi="Century Gothic" w:cs="Arial"/>
          <w:bCs/>
          <w:iCs/>
        </w:rPr>
      </w:pPr>
    </w:p>
    <w:p w:rsidR="000420D5" w:rsidRPr="00E838B4" w:rsidP="000420D5">
      <w:pPr>
        <w:keepNext/>
        <w:spacing w:after="60"/>
        <w:jc w:val="both"/>
        <w:outlineLvl w:val="1"/>
        <w:rPr>
          <w:rFonts w:ascii="Century Gothic" w:hAnsi="Century Gothic" w:cs="Arial"/>
          <w:bCs/>
          <w:iCs/>
        </w:rPr>
      </w:pPr>
      <w:r>
        <w:rPr>
          <w:rFonts w:ascii="Century Gothic" w:hAnsi="Century Gothic" w:cs="Arial"/>
          <w:bCs/>
          <w:iCs/>
        </w:rPr>
        <w:t xml:space="preserve">In the circumstances that the contract value were to fall above the EU threshold, a negotiated procedure without prior publication would need to be considered. Legal would need to be comfortable with </w:t>
      </w:r>
      <w:r w:rsidRPr="00AB75B3">
        <w:rPr>
          <w:rFonts w:ascii="Century Gothic" w:hAnsi="Century Gothic" w:cs="Arial"/>
          <w:bCs/>
          <w:iCs/>
        </w:rPr>
        <w:t xml:space="preserve">this approach and specific requirements as laid down in the regulations would need to be followed. </w:t>
      </w:r>
      <w:r w:rsidRPr="00AB75B3">
        <w:rPr>
          <w:rFonts w:ascii="Century Gothic" w:hAnsi="Century Gothic"/>
        </w:rPr>
        <w:t>If relying on this procurement route a VEAT notice may be published in OJEU to resist</w:t>
      </w:r>
      <w:r w:rsidRPr="00AB75B3">
        <w:rPr>
          <w:rFonts w:ascii="Century Gothic" w:hAnsi="Century Gothic" w:cs="Arial"/>
          <w:color w:val="555555"/>
          <w:sz w:val="21"/>
          <w:szCs w:val="21"/>
        </w:rPr>
        <w:t xml:space="preserve"> </w:t>
      </w:r>
      <w:r w:rsidRPr="00AB75B3">
        <w:rPr>
          <w:rFonts w:ascii="Century Gothic" w:hAnsi="Century Gothic"/>
        </w:rPr>
        <w:t xml:space="preserve">challenge on grounds of ineffectiveness under the Public Contracts Regulations 2015 </w:t>
      </w:r>
      <w:r w:rsidRPr="00AB75B3">
        <w:rPr>
          <w:rFonts w:ascii="Century Gothic" w:hAnsi="Century Gothic"/>
        </w:rPr>
        <w:t>Reg</w:t>
      </w:r>
      <w:r w:rsidRPr="00AB75B3">
        <w:rPr>
          <w:rFonts w:ascii="Century Gothic" w:hAnsi="Century Gothic"/>
        </w:rPr>
        <w:t xml:space="preserve"> 99 (3).</w:t>
      </w:r>
    </w:p>
    <w:p w:rsidR="000420D5">
      <w:pPr>
        <w:rPr>
          <w:rFonts w:ascii="Century Gothic" w:eastAsia="Times New Roman" w:hAnsi="Century Gothic" w:cs="Arial"/>
          <w:b/>
          <w:bCs/>
          <w:iCs/>
          <w:color w:val="auto"/>
          <w:sz w:val="32"/>
          <w:szCs w:val="20"/>
        </w:rPr>
      </w:pPr>
    </w:p>
    <w:p w:rsidR="00F14060" w:rsidRPr="00F50237">
      <w:pPr>
        <w:spacing w:before="240" w:after="60"/>
        <w:outlineLvl w:val="1"/>
        <w:rPr>
          <w:rFonts w:ascii="Century Gothic" w:eastAsia="Times New Roman" w:hAnsi="Century Gothic" w:cs="Arial"/>
          <w:b/>
          <w:bCs/>
          <w:iCs/>
          <w:color w:val="auto"/>
          <w:sz w:val="32"/>
          <w:szCs w:val="20"/>
        </w:rPr>
      </w:pPr>
      <w:r>
        <w:rPr>
          <w:rFonts w:ascii="Century Gothic" w:eastAsia="Times New Roman" w:hAnsi="Century Gothic" w:cs="Arial"/>
          <w:b/>
          <w:bCs/>
          <w:iCs/>
          <w:color w:val="auto"/>
          <w:sz w:val="32"/>
          <w:szCs w:val="20"/>
        </w:rPr>
        <w:t>Risks</w:t>
      </w:r>
    </w:p>
    <w:p w:rsidR="00F50237" w:rsidP="00F50237">
      <w:pPr>
        <w:spacing w:after="60"/>
        <w:outlineLvl w:val="1"/>
        <w:rPr>
          <w:rFonts w:ascii="Century Gothic" w:eastAsia="Times New Roman" w:hAnsi="Century Gothic" w:cs="Arial"/>
          <w:bCs/>
          <w:iCs/>
          <w:color w:val="auto"/>
          <w:szCs w:val="20"/>
        </w:rPr>
      </w:pPr>
      <w:r>
        <w:rPr>
          <w:rFonts w:ascii="Century Gothic" w:eastAsia="Times New Roman" w:hAnsi="Century Gothic" w:cs="Arial"/>
          <w:bCs/>
          <w:iCs/>
          <w:color w:val="auto"/>
          <w:szCs w:val="20"/>
        </w:rPr>
        <w:t xml:space="preserve">Risks will be monitored in line with the councils adopted Risk Management Framework and entered into InPhase. </w:t>
      </w:r>
    </w:p>
    <w:p w:rsidR="00F50237" w:rsidP="00F50237">
      <w:pPr>
        <w:keepNext/>
        <w:spacing w:after="60"/>
        <w:outlineLvl w:val="1"/>
        <w:rPr>
          <w:rFonts w:ascii="Century Gothic" w:eastAsia="Times New Roman" w:hAnsi="Century Gothic" w:cs="Arial"/>
          <w:bCs/>
          <w:iCs/>
          <w:color w:val="auto"/>
          <w:szCs w:val="20"/>
        </w:rPr>
      </w:pPr>
    </w:p>
    <w:p w:rsidR="00F50237" w:rsidP="00F50237">
      <w:pPr>
        <w:spacing w:after="60"/>
        <w:outlineLvl w:val="1"/>
        <w:rPr>
          <w:rFonts w:ascii="Century Gothic" w:eastAsia="Times New Roman" w:hAnsi="Century Gothic" w:cs="Arial"/>
          <w:bCs/>
          <w:iCs/>
          <w:color w:val="auto"/>
          <w:szCs w:val="20"/>
        </w:rPr>
      </w:pPr>
      <w:r>
        <w:rPr>
          <w:rFonts w:ascii="Century Gothic" w:eastAsia="Times New Roman" w:hAnsi="Century Gothic" w:cs="Arial"/>
          <w:bCs/>
          <w:iCs/>
          <w:color w:val="auto"/>
          <w:szCs w:val="20"/>
        </w:rPr>
        <w:t>Risks will be logged using a 4x4 risk matrix rating likelihood again impact / severity:</w:t>
      </w:r>
    </w:p>
    <w:p w:rsidR="00F50237" w:rsidP="00F50237">
      <w:pPr>
        <w:keepNext/>
        <w:spacing w:after="60"/>
        <w:outlineLvl w:val="1"/>
        <w:rPr>
          <w:rFonts w:ascii="Century Gothic" w:eastAsia="Times New Roman" w:hAnsi="Century Gothic" w:cs="Arial"/>
          <w:bCs/>
          <w:iCs/>
          <w:color w:val="auto"/>
          <w:szCs w:val="20"/>
        </w:rPr>
      </w:pPr>
    </w:p>
    <w:p w:rsidR="00F50237" w:rsidP="00F50237">
      <w:pPr>
        <w:spacing w:after="60"/>
        <w:jc w:val="center"/>
        <w:outlineLvl w:val="1"/>
        <w:rPr>
          <w:rFonts w:ascii="Century Gothic" w:eastAsia="Times New Roman" w:hAnsi="Century Gothic" w:cs="Arial"/>
          <w:bCs/>
          <w:iCs/>
          <w:color w:val="auto"/>
          <w:szCs w:val="20"/>
        </w:rPr>
      </w:pPr>
      <w:r>
        <w:rPr>
          <w:noProof/>
          <w:lang w:eastAsia="en-GB"/>
        </w:rPr>
        <w:drawing>
          <wp:inline distT="0" distB="0" distL="0" distR="0">
            <wp:extent cx="2987749" cy="145357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005115" name=""/>
                    <pic:cNvPicPr/>
                  </pic:nvPicPr>
                  <pic:blipFill>
                    <a:blip xmlns:r="http://schemas.openxmlformats.org/officeDocument/2006/relationships" r:embed="rId12"/>
                    <a:stretch>
                      <a:fillRect/>
                    </a:stretch>
                  </pic:blipFill>
                  <pic:spPr>
                    <a:xfrm>
                      <a:off x="0" y="0"/>
                      <a:ext cx="3005529" cy="1462225"/>
                    </a:xfrm>
                    <a:prstGeom prst="rect">
                      <a:avLst/>
                    </a:prstGeom>
                  </pic:spPr>
                </pic:pic>
              </a:graphicData>
            </a:graphic>
          </wp:inline>
        </w:drawing>
      </w:r>
    </w:p>
    <w:p w:rsidR="00F50237" w:rsidP="00F50237">
      <w:pPr>
        <w:keepNext/>
        <w:spacing w:before="240" w:after="60"/>
        <w:outlineLvl w:val="1"/>
        <w:rPr>
          <w:rFonts w:ascii="Century Gothic" w:eastAsia="Times New Roman" w:hAnsi="Century Gothic" w:cs="Arial"/>
          <w:bCs/>
          <w:iCs/>
          <w:color w:val="auto"/>
          <w:szCs w:val="20"/>
        </w:rPr>
      </w:pPr>
      <w:r>
        <w:rPr>
          <w:rFonts w:ascii="Century Gothic" w:eastAsia="Times New Roman" w:hAnsi="Century Gothic" w:cs="Arial"/>
          <w:bCs/>
          <w:iCs/>
          <w:color w:val="auto"/>
          <w:szCs w:val="20"/>
        </w:rPr>
        <w:t>Project risks have been identified as below with initial estimated risk scores. Measures will be implemented to reduce risks where possible and within financial capacity. External risks will be mitigated with appropriate measures where possible:</w:t>
      </w:r>
    </w:p>
    <w:p w:rsidR="00F14060" w:rsidP="00F50237">
      <w:pPr>
        <w:spacing w:before="240" w:after="60"/>
        <w:outlineLvl w:val="1"/>
        <w:rPr>
          <w:rFonts w:ascii="Century Gothic" w:eastAsia="Times New Roman" w:hAnsi="Century Gothic" w:cs="Arial"/>
          <w:bCs/>
          <w:iCs/>
          <w:color w:val="auto"/>
          <w:szCs w:val="20"/>
        </w:rPr>
      </w:pPr>
    </w:p>
    <w:tbl>
      <w:tblPr>
        <w:tblStyle w:val="TableGrid"/>
        <w:tblW w:w="0" w:type="auto"/>
        <w:tblLook w:val="04A0"/>
      </w:tblPr>
      <w:tblGrid>
        <w:gridCol w:w="1917"/>
        <w:gridCol w:w="1440"/>
        <w:gridCol w:w="1402"/>
        <w:gridCol w:w="1529"/>
        <w:gridCol w:w="3340"/>
      </w:tblGrid>
      <w:tr w:rsidTr="00F540A3">
        <w:tblPrEx>
          <w:tblW w:w="0" w:type="auto"/>
          <w:tblLook w:val="04A0"/>
        </w:tblPrEx>
        <w:tc>
          <w:tcPr>
            <w:tcW w:w="1917" w:type="dxa"/>
            <w:shd w:val="clear" w:color="auto" w:fill="D9D9D9" w:themeFill="background1" w:themeFillShade="D9"/>
          </w:tcPr>
          <w:p w:rsidR="00F50237" w:rsidP="00C46A2A">
            <w:pPr>
              <w:jc w:val="center"/>
              <w:rPr>
                <w:rFonts w:ascii="Century Gothic" w:hAnsi="Century Gothic"/>
                <w:b/>
              </w:rPr>
            </w:pPr>
            <w:r>
              <w:rPr>
                <w:rFonts w:ascii="Century Gothic" w:hAnsi="Century Gothic"/>
                <w:b/>
              </w:rPr>
              <w:t>Risk Description</w:t>
            </w:r>
          </w:p>
        </w:tc>
        <w:tc>
          <w:tcPr>
            <w:tcW w:w="1440" w:type="dxa"/>
            <w:shd w:val="clear" w:color="auto" w:fill="D9D9D9" w:themeFill="background1" w:themeFillShade="D9"/>
          </w:tcPr>
          <w:p w:rsidR="00F50237" w:rsidP="00C46A2A">
            <w:pPr>
              <w:jc w:val="center"/>
              <w:rPr>
                <w:rFonts w:ascii="Century Gothic" w:hAnsi="Century Gothic"/>
                <w:b/>
              </w:rPr>
            </w:pPr>
            <w:r>
              <w:rPr>
                <w:rFonts w:ascii="Century Gothic" w:hAnsi="Century Gothic"/>
                <w:b/>
              </w:rPr>
              <w:t>Likelihood</w:t>
            </w:r>
          </w:p>
        </w:tc>
        <w:tc>
          <w:tcPr>
            <w:tcW w:w="1402" w:type="dxa"/>
            <w:shd w:val="clear" w:color="auto" w:fill="D9D9D9" w:themeFill="background1" w:themeFillShade="D9"/>
          </w:tcPr>
          <w:p w:rsidR="00F50237" w:rsidP="00C46A2A">
            <w:pPr>
              <w:jc w:val="center"/>
              <w:rPr>
                <w:rFonts w:ascii="Century Gothic" w:hAnsi="Century Gothic"/>
                <w:b/>
              </w:rPr>
            </w:pPr>
            <w:r>
              <w:rPr>
                <w:rFonts w:ascii="Century Gothic" w:hAnsi="Century Gothic"/>
                <w:b/>
              </w:rPr>
              <w:t>Severity</w:t>
            </w:r>
          </w:p>
        </w:tc>
        <w:tc>
          <w:tcPr>
            <w:tcW w:w="1529" w:type="dxa"/>
            <w:shd w:val="clear" w:color="auto" w:fill="D9D9D9" w:themeFill="background1" w:themeFillShade="D9"/>
          </w:tcPr>
          <w:p w:rsidR="00F50237" w:rsidP="00C46A2A">
            <w:pPr>
              <w:jc w:val="center"/>
              <w:rPr>
                <w:rFonts w:ascii="Century Gothic" w:hAnsi="Century Gothic"/>
                <w:b/>
              </w:rPr>
            </w:pPr>
            <w:r>
              <w:rPr>
                <w:rFonts w:ascii="Century Gothic" w:hAnsi="Century Gothic"/>
                <w:b/>
              </w:rPr>
              <w:t>Risk Score</w:t>
            </w:r>
            <w:r>
              <w:rPr>
                <w:rFonts w:ascii="Century Gothic" w:hAnsi="Century Gothic"/>
                <w:b/>
              </w:rPr>
              <w:br/>
            </w:r>
          </w:p>
        </w:tc>
        <w:tc>
          <w:tcPr>
            <w:tcW w:w="3340" w:type="dxa"/>
            <w:shd w:val="clear" w:color="auto" w:fill="D9D9D9" w:themeFill="background1" w:themeFillShade="D9"/>
          </w:tcPr>
          <w:p w:rsidR="00F50237" w:rsidP="00C46A2A">
            <w:pPr>
              <w:jc w:val="center"/>
              <w:rPr>
                <w:rFonts w:ascii="Century Gothic" w:hAnsi="Century Gothic"/>
                <w:b/>
              </w:rPr>
            </w:pPr>
            <w:r>
              <w:rPr>
                <w:rFonts w:ascii="Century Gothic" w:hAnsi="Century Gothic"/>
                <w:b/>
              </w:rPr>
              <w:t>Mitigation Measures</w:t>
            </w:r>
          </w:p>
        </w:tc>
      </w:tr>
      <w:tr w:rsidTr="00F540A3">
        <w:tblPrEx>
          <w:tblW w:w="0" w:type="auto"/>
          <w:tblLook w:val="04A0"/>
        </w:tblPrEx>
        <w:tc>
          <w:tcPr>
            <w:tcW w:w="1917" w:type="dxa"/>
          </w:tcPr>
          <w:p w:rsidR="00F50237" w:rsidP="00C46A2A">
            <w:pPr>
              <w:rPr>
                <w:rFonts w:ascii="Century Gothic" w:hAnsi="Century Gothic"/>
              </w:rPr>
            </w:pPr>
          </w:p>
          <w:p w:rsidR="00F50237" w:rsidP="00C46A2A">
            <w:pPr>
              <w:rPr>
                <w:rFonts w:ascii="Century Gothic" w:hAnsi="Century Gothic"/>
              </w:rPr>
            </w:pPr>
            <w:r>
              <w:rPr>
                <w:rFonts w:ascii="Century Gothic" w:hAnsi="Century Gothic"/>
              </w:rPr>
              <w:t>Project</w:t>
            </w:r>
            <w:r>
              <w:rPr>
                <w:rFonts w:ascii="Century Gothic" w:hAnsi="Century Gothic"/>
              </w:rPr>
              <w:t xml:space="preserve"> cannot be delivered within budget</w:t>
            </w:r>
          </w:p>
        </w:tc>
        <w:tc>
          <w:tcPr>
            <w:tcW w:w="1440" w:type="dxa"/>
          </w:tcPr>
          <w:p w:rsidR="00F50237" w:rsidP="00C46A2A">
            <w:pPr>
              <w:jc w:val="center"/>
              <w:rPr>
                <w:rFonts w:ascii="Century Gothic" w:hAnsi="Century Gothic"/>
              </w:rPr>
            </w:pPr>
            <w:r>
              <w:rPr>
                <w:rFonts w:ascii="Century Gothic" w:hAnsi="Century Gothic"/>
              </w:rPr>
              <w:t>1</w:t>
            </w:r>
          </w:p>
        </w:tc>
        <w:tc>
          <w:tcPr>
            <w:tcW w:w="1402" w:type="dxa"/>
          </w:tcPr>
          <w:p w:rsidR="00F50237" w:rsidP="00C46A2A">
            <w:pPr>
              <w:jc w:val="center"/>
              <w:rPr>
                <w:rFonts w:ascii="Century Gothic" w:hAnsi="Century Gothic"/>
              </w:rPr>
            </w:pPr>
            <w:r>
              <w:rPr>
                <w:rFonts w:ascii="Century Gothic" w:hAnsi="Century Gothic"/>
              </w:rPr>
              <w:t>4</w:t>
            </w:r>
          </w:p>
        </w:tc>
        <w:tc>
          <w:tcPr>
            <w:tcW w:w="1529" w:type="dxa"/>
            <w:shd w:val="clear" w:color="auto" w:fill="92D050"/>
          </w:tcPr>
          <w:p w:rsidR="00F50237" w:rsidP="00C46A2A">
            <w:pPr>
              <w:jc w:val="center"/>
              <w:rPr>
                <w:rFonts w:ascii="Century Gothic" w:hAnsi="Century Gothic"/>
              </w:rPr>
            </w:pPr>
            <w:r>
              <w:rPr>
                <w:rFonts w:ascii="Century Gothic" w:hAnsi="Century Gothic"/>
              </w:rPr>
              <w:t>4</w:t>
            </w:r>
          </w:p>
        </w:tc>
        <w:tc>
          <w:tcPr>
            <w:tcW w:w="3340" w:type="dxa"/>
          </w:tcPr>
          <w:p w:rsidR="00F50237" w:rsidP="00C46A2A">
            <w:pPr>
              <w:rPr>
                <w:rFonts w:ascii="Century Gothic" w:hAnsi="Century Gothic"/>
              </w:rPr>
            </w:pPr>
          </w:p>
          <w:p w:rsidR="00F50237" w:rsidP="00C46A2A">
            <w:pPr>
              <w:rPr>
                <w:rFonts w:ascii="Century Gothic" w:hAnsi="Century Gothic"/>
              </w:rPr>
            </w:pPr>
            <w:r>
              <w:rPr>
                <w:rFonts w:ascii="Century Gothic" w:hAnsi="Century Gothic"/>
              </w:rPr>
              <w:t xml:space="preserve">Each project will be fully scoped before implementation ensuring that associated costs are highlighted and all stakeholders are aware. Where costs are likely to exceed budget this will be reported to the Digital to Improve </w:t>
            </w:r>
            <w:r w:rsidR="00F377E7">
              <w:rPr>
                <w:rFonts w:ascii="Century Gothic" w:hAnsi="Century Gothic"/>
              </w:rPr>
              <w:t>Project</w:t>
            </w:r>
            <w:r>
              <w:rPr>
                <w:rFonts w:ascii="Century Gothic" w:hAnsi="Century Gothic"/>
              </w:rPr>
              <w:t xml:space="preserve"> board for decision making.</w:t>
            </w:r>
          </w:p>
          <w:p w:rsidR="00F50237" w:rsidP="00C46A2A">
            <w:pPr>
              <w:rPr>
                <w:rFonts w:ascii="Century Gothic" w:hAnsi="Century Gothic"/>
              </w:rPr>
            </w:pPr>
          </w:p>
        </w:tc>
      </w:tr>
      <w:tr w:rsidTr="00F540A3">
        <w:tblPrEx>
          <w:tblW w:w="0" w:type="auto"/>
          <w:tblLook w:val="04A0"/>
        </w:tblPrEx>
        <w:tc>
          <w:tcPr>
            <w:tcW w:w="1917" w:type="dxa"/>
          </w:tcPr>
          <w:p w:rsidR="00F50237" w:rsidP="00C46A2A">
            <w:pPr>
              <w:rPr>
                <w:rFonts w:ascii="Century Gothic" w:hAnsi="Century Gothic"/>
              </w:rPr>
            </w:pPr>
          </w:p>
          <w:p w:rsidR="00F50237" w:rsidP="00C46A2A">
            <w:pPr>
              <w:rPr>
                <w:rFonts w:ascii="Century Gothic" w:hAnsi="Century Gothic"/>
              </w:rPr>
            </w:pPr>
            <w:r>
              <w:rPr>
                <w:rFonts w:ascii="Century Gothic" w:hAnsi="Century Gothic"/>
              </w:rPr>
              <w:t>Project</w:t>
            </w:r>
            <w:r>
              <w:rPr>
                <w:rFonts w:ascii="Century Gothic" w:hAnsi="Century Gothic"/>
              </w:rPr>
              <w:t xml:space="preserve"> fails to deliver on key objectives</w:t>
            </w:r>
          </w:p>
        </w:tc>
        <w:tc>
          <w:tcPr>
            <w:tcW w:w="1440" w:type="dxa"/>
          </w:tcPr>
          <w:p w:rsidR="00F50237" w:rsidP="00C46A2A">
            <w:pPr>
              <w:jc w:val="center"/>
              <w:rPr>
                <w:rFonts w:ascii="Century Gothic" w:hAnsi="Century Gothic"/>
              </w:rPr>
            </w:pPr>
            <w:r>
              <w:rPr>
                <w:rFonts w:ascii="Century Gothic" w:hAnsi="Century Gothic"/>
              </w:rPr>
              <w:t>2</w:t>
            </w:r>
          </w:p>
        </w:tc>
        <w:tc>
          <w:tcPr>
            <w:tcW w:w="1402" w:type="dxa"/>
          </w:tcPr>
          <w:p w:rsidR="00F50237" w:rsidP="00C46A2A">
            <w:pPr>
              <w:jc w:val="center"/>
              <w:rPr>
                <w:rFonts w:ascii="Century Gothic" w:hAnsi="Century Gothic"/>
              </w:rPr>
            </w:pPr>
            <w:r>
              <w:rPr>
                <w:rFonts w:ascii="Century Gothic" w:hAnsi="Century Gothic"/>
              </w:rPr>
              <w:t>3</w:t>
            </w:r>
          </w:p>
        </w:tc>
        <w:tc>
          <w:tcPr>
            <w:tcW w:w="1529" w:type="dxa"/>
            <w:shd w:val="clear" w:color="auto" w:fill="FFC000"/>
          </w:tcPr>
          <w:p w:rsidR="00F50237" w:rsidP="00C46A2A">
            <w:pPr>
              <w:jc w:val="center"/>
              <w:rPr>
                <w:rFonts w:ascii="Century Gothic" w:hAnsi="Century Gothic"/>
              </w:rPr>
            </w:pPr>
            <w:r>
              <w:rPr>
                <w:rFonts w:ascii="Century Gothic" w:hAnsi="Century Gothic"/>
              </w:rPr>
              <w:t>6</w:t>
            </w:r>
          </w:p>
        </w:tc>
        <w:tc>
          <w:tcPr>
            <w:tcW w:w="3340" w:type="dxa"/>
          </w:tcPr>
          <w:p w:rsidR="00F50237" w:rsidP="00C46A2A">
            <w:pPr>
              <w:rPr>
                <w:rFonts w:ascii="Century Gothic" w:hAnsi="Century Gothic"/>
              </w:rPr>
            </w:pPr>
          </w:p>
          <w:p w:rsidR="00F50237" w:rsidP="00C46A2A">
            <w:pPr>
              <w:rPr>
                <w:rFonts w:ascii="Century Gothic" w:hAnsi="Century Gothic"/>
              </w:rPr>
            </w:pPr>
            <w:r>
              <w:rPr>
                <w:rFonts w:ascii="Century Gothic" w:hAnsi="Century Gothic"/>
              </w:rPr>
              <w:t>Key objectives have been defined ensuring that all project team members are aware of the required outcomes. A Communications Management Approach will be developed to ensure there are clear reporting lines to highlight any areas of potential failure early on in the process.</w:t>
            </w:r>
            <w:r w:rsidR="007D10BD">
              <w:rPr>
                <w:rFonts w:ascii="Century Gothic" w:hAnsi="Century Gothic"/>
              </w:rPr>
              <w:t xml:space="preserve"> Upon authorisation to initiate the project the project team will work with IDOX to review the scope and timelines in line with best practice and lessons learned.</w:t>
            </w:r>
          </w:p>
          <w:p w:rsidR="00F50237" w:rsidP="00C46A2A">
            <w:pPr>
              <w:rPr>
                <w:rFonts w:ascii="Century Gothic" w:hAnsi="Century Gothic"/>
              </w:rPr>
            </w:pPr>
          </w:p>
        </w:tc>
      </w:tr>
      <w:tr w:rsidTr="00F540A3">
        <w:tblPrEx>
          <w:tblW w:w="0" w:type="auto"/>
          <w:tblLook w:val="04A0"/>
        </w:tblPrEx>
        <w:tc>
          <w:tcPr>
            <w:tcW w:w="1917" w:type="dxa"/>
          </w:tcPr>
          <w:p w:rsidR="00F50237" w:rsidP="00C46A2A">
            <w:pPr>
              <w:rPr>
                <w:rFonts w:ascii="Century Gothic" w:hAnsi="Century Gothic"/>
              </w:rPr>
            </w:pPr>
          </w:p>
          <w:p w:rsidR="00F50237" w:rsidP="00C46A2A">
            <w:pPr>
              <w:rPr>
                <w:rFonts w:ascii="Century Gothic" w:hAnsi="Century Gothic"/>
              </w:rPr>
            </w:pPr>
            <w:r>
              <w:rPr>
                <w:rFonts w:ascii="Century Gothic" w:hAnsi="Century Gothic"/>
              </w:rPr>
              <w:t>Project</w:t>
            </w:r>
            <w:r>
              <w:rPr>
                <w:rFonts w:ascii="Century Gothic" w:hAnsi="Century Gothic"/>
              </w:rPr>
              <w:t xml:space="preserve"> cannot be delivered within estimated timeframe</w:t>
            </w:r>
          </w:p>
        </w:tc>
        <w:tc>
          <w:tcPr>
            <w:tcW w:w="1440" w:type="dxa"/>
          </w:tcPr>
          <w:p w:rsidR="00F50237" w:rsidP="00C46A2A">
            <w:pPr>
              <w:jc w:val="center"/>
              <w:rPr>
                <w:rFonts w:ascii="Century Gothic" w:hAnsi="Century Gothic"/>
              </w:rPr>
            </w:pPr>
            <w:r>
              <w:rPr>
                <w:rFonts w:ascii="Century Gothic" w:hAnsi="Century Gothic"/>
              </w:rPr>
              <w:t>2</w:t>
            </w:r>
          </w:p>
        </w:tc>
        <w:tc>
          <w:tcPr>
            <w:tcW w:w="1402" w:type="dxa"/>
          </w:tcPr>
          <w:p w:rsidR="00F50237" w:rsidP="00C46A2A">
            <w:pPr>
              <w:jc w:val="center"/>
              <w:rPr>
                <w:rFonts w:ascii="Century Gothic" w:hAnsi="Century Gothic"/>
              </w:rPr>
            </w:pPr>
            <w:r>
              <w:rPr>
                <w:rFonts w:ascii="Century Gothic" w:hAnsi="Century Gothic"/>
              </w:rPr>
              <w:t>2</w:t>
            </w:r>
          </w:p>
        </w:tc>
        <w:tc>
          <w:tcPr>
            <w:tcW w:w="1529" w:type="dxa"/>
            <w:shd w:val="clear" w:color="auto" w:fill="92D050"/>
          </w:tcPr>
          <w:p w:rsidR="00F50237" w:rsidP="00C46A2A">
            <w:pPr>
              <w:jc w:val="center"/>
              <w:rPr>
                <w:rFonts w:ascii="Century Gothic" w:hAnsi="Century Gothic"/>
              </w:rPr>
            </w:pPr>
            <w:r>
              <w:rPr>
                <w:rFonts w:ascii="Century Gothic" w:hAnsi="Century Gothic"/>
              </w:rPr>
              <w:t>4</w:t>
            </w:r>
          </w:p>
        </w:tc>
        <w:tc>
          <w:tcPr>
            <w:tcW w:w="3340" w:type="dxa"/>
          </w:tcPr>
          <w:p w:rsidR="00F50237" w:rsidP="00C46A2A">
            <w:pPr>
              <w:rPr>
                <w:rFonts w:ascii="Century Gothic" w:hAnsi="Century Gothic"/>
              </w:rPr>
            </w:pPr>
          </w:p>
          <w:p w:rsidR="00F50237" w:rsidP="00C46A2A">
            <w:pPr>
              <w:rPr>
                <w:rFonts w:ascii="Century Gothic" w:hAnsi="Century Gothic"/>
              </w:rPr>
            </w:pPr>
            <w:r>
              <w:rPr>
                <w:rFonts w:ascii="Century Gothic" w:hAnsi="Century Gothic"/>
              </w:rPr>
              <w:t>The scope of the project has been clearly defined therefore reducing the risk of scope creep and delays to implementation. Key performance measures will be continually monitored with extra resources assigned where there is evidence of delays.</w:t>
            </w:r>
          </w:p>
          <w:p w:rsidR="00F50237" w:rsidP="00C46A2A">
            <w:pPr>
              <w:rPr>
                <w:rFonts w:ascii="Century Gothic" w:hAnsi="Century Gothic"/>
              </w:rPr>
            </w:pPr>
          </w:p>
        </w:tc>
      </w:tr>
      <w:tr w:rsidTr="00F540A3">
        <w:tblPrEx>
          <w:tblW w:w="0" w:type="auto"/>
          <w:tblLook w:val="04A0"/>
        </w:tblPrEx>
        <w:tc>
          <w:tcPr>
            <w:tcW w:w="1917" w:type="dxa"/>
          </w:tcPr>
          <w:p w:rsidR="00F50237" w:rsidP="00C46A2A">
            <w:pPr>
              <w:rPr>
                <w:rFonts w:ascii="Century Gothic" w:hAnsi="Century Gothic"/>
              </w:rPr>
            </w:pPr>
          </w:p>
          <w:p w:rsidR="00F50237" w:rsidP="00C46A2A">
            <w:pPr>
              <w:rPr>
                <w:rFonts w:ascii="Century Gothic" w:hAnsi="Century Gothic"/>
              </w:rPr>
            </w:pPr>
            <w:r>
              <w:rPr>
                <w:rFonts w:ascii="Century Gothic" w:hAnsi="Century Gothic"/>
              </w:rPr>
              <w:t>Project</w:t>
            </w:r>
            <w:r>
              <w:rPr>
                <w:rFonts w:ascii="Century Gothic" w:hAnsi="Century Gothic"/>
              </w:rPr>
              <w:t xml:space="preserve"> loses support of Leadership Team or Politicians</w:t>
            </w:r>
          </w:p>
        </w:tc>
        <w:tc>
          <w:tcPr>
            <w:tcW w:w="1440" w:type="dxa"/>
          </w:tcPr>
          <w:p w:rsidR="00F50237" w:rsidP="00C46A2A">
            <w:pPr>
              <w:jc w:val="center"/>
              <w:rPr>
                <w:rFonts w:ascii="Century Gothic" w:hAnsi="Century Gothic"/>
              </w:rPr>
            </w:pPr>
            <w:r>
              <w:rPr>
                <w:rFonts w:ascii="Century Gothic" w:hAnsi="Century Gothic"/>
              </w:rPr>
              <w:t>1</w:t>
            </w:r>
          </w:p>
        </w:tc>
        <w:tc>
          <w:tcPr>
            <w:tcW w:w="1402" w:type="dxa"/>
          </w:tcPr>
          <w:p w:rsidR="00F50237" w:rsidP="00C46A2A">
            <w:pPr>
              <w:jc w:val="center"/>
              <w:rPr>
                <w:rFonts w:ascii="Century Gothic" w:hAnsi="Century Gothic"/>
              </w:rPr>
            </w:pPr>
            <w:r>
              <w:rPr>
                <w:rFonts w:ascii="Century Gothic" w:hAnsi="Century Gothic"/>
              </w:rPr>
              <w:t>4</w:t>
            </w:r>
          </w:p>
        </w:tc>
        <w:tc>
          <w:tcPr>
            <w:tcW w:w="1529" w:type="dxa"/>
            <w:shd w:val="clear" w:color="auto" w:fill="92D050"/>
          </w:tcPr>
          <w:p w:rsidR="00F50237" w:rsidP="00C46A2A">
            <w:pPr>
              <w:jc w:val="center"/>
              <w:rPr>
                <w:rFonts w:ascii="Century Gothic" w:hAnsi="Century Gothic"/>
              </w:rPr>
            </w:pPr>
            <w:r>
              <w:rPr>
                <w:rFonts w:ascii="Century Gothic" w:hAnsi="Century Gothic"/>
              </w:rPr>
              <w:t>4</w:t>
            </w:r>
          </w:p>
        </w:tc>
        <w:tc>
          <w:tcPr>
            <w:tcW w:w="3340" w:type="dxa"/>
          </w:tcPr>
          <w:p w:rsidR="00F50237" w:rsidP="00C46A2A">
            <w:pPr>
              <w:rPr>
                <w:rFonts w:ascii="Century Gothic" w:hAnsi="Century Gothic"/>
              </w:rPr>
            </w:pPr>
          </w:p>
          <w:p w:rsidR="00F50237" w:rsidP="00C46A2A">
            <w:pPr>
              <w:rPr>
                <w:rFonts w:ascii="Century Gothic" w:hAnsi="Century Gothic"/>
              </w:rPr>
            </w:pPr>
            <w:r>
              <w:rPr>
                <w:rFonts w:ascii="Century Gothic" w:hAnsi="Century Gothic"/>
              </w:rPr>
              <w:t xml:space="preserve">Regular updates will be provided to the Digital to Improve </w:t>
            </w:r>
            <w:r w:rsidR="00F377E7">
              <w:rPr>
                <w:rFonts w:ascii="Century Gothic" w:hAnsi="Century Gothic"/>
              </w:rPr>
              <w:t>Project</w:t>
            </w:r>
            <w:r>
              <w:rPr>
                <w:rFonts w:ascii="Century Gothic" w:hAnsi="Century Gothic"/>
              </w:rPr>
              <w:t xml:space="preserve"> board with updates then taken to Corporate Planning </w:t>
            </w:r>
            <w:r w:rsidR="00F377E7">
              <w:rPr>
                <w:rFonts w:ascii="Century Gothic" w:hAnsi="Century Gothic"/>
              </w:rPr>
              <w:t>Project</w:t>
            </w:r>
            <w:r>
              <w:rPr>
                <w:rFonts w:ascii="Century Gothic" w:hAnsi="Century Gothic"/>
              </w:rPr>
              <w:t xml:space="preserve"> Board. This should ensure that scope is always aligned to the Corporate Plan therefore maintaining support and political will. </w:t>
            </w:r>
          </w:p>
          <w:p w:rsidR="00F50237" w:rsidP="00C46A2A">
            <w:pPr>
              <w:rPr>
                <w:rFonts w:ascii="Century Gothic" w:hAnsi="Century Gothic"/>
              </w:rPr>
            </w:pPr>
          </w:p>
        </w:tc>
      </w:tr>
      <w:tr w:rsidTr="00F540A3">
        <w:tblPrEx>
          <w:tblW w:w="0" w:type="auto"/>
          <w:tblLook w:val="04A0"/>
        </w:tblPrEx>
        <w:tc>
          <w:tcPr>
            <w:tcW w:w="1917" w:type="dxa"/>
          </w:tcPr>
          <w:p w:rsidR="00F50237" w:rsidP="00C46A2A">
            <w:pPr>
              <w:rPr>
                <w:rFonts w:ascii="Century Gothic" w:hAnsi="Century Gothic" w:cs="Arial"/>
                <w:color w:val="000000"/>
              </w:rPr>
            </w:pPr>
            <w:r>
              <w:rPr>
                <w:rFonts w:ascii="Century Gothic" w:hAnsi="Century Gothic" w:cs="Arial"/>
                <w:color w:val="000000"/>
              </w:rPr>
              <w:t>Confusion regarding responsibilities and accountabilities</w:t>
            </w:r>
          </w:p>
          <w:p w:rsidR="00F50237" w:rsidP="00C46A2A">
            <w:pPr>
              <w:rPr>
                <w:rFonts w:ascii="Century Gothic" w:hAnsi="Century Gothic"/>
              </w:rPr>
            </w:pPr>
          </w:p>
        </w:tc>
        <w:tc>
          <w:tcPr>
            <w:tcW w:w="1440" w:type="dxa"/>
          </w:tcPr>
          <w:p w:rsidR="00F50237" w:rsidP="00C46A2A">
            <w:pPr>
              <w:jc w:val="center"/>
              <w:rPr>
                <w:rFonts w:ascii="Century Gothic" w:hAnsi="Century Gothic"/>
              </w:rPr>
            </w:pPr>
            <w:r>
              <w:rPr>
                <w:rFonts w:ascii="Century Gothic" w:hAnsi="Century Gothic"/>
              </w:rPr>
              <w:t>2</w:t>
            </w:r>
          </w:p>
        </w:tc>
        <w:tc>
          <w:tcPr>
            <w:tcW w:w="1402" w:type="dxa"/>
          </w:tcPr>
          <w:p w:rsidR="00F50237" w:rsidP="00C46A2A">
            <w:pPr>
              <w:jc w:val="center"/>
              <w:rPr>
                <w:rFonts w:ascii="Century Gothic" w:hAnsi="Century Gothic"/>
              </w:rPr>
            </w:pPr>
            <w:r>
              <w:rPr>
                <w:rFonts w:ascii="Century Gothic" w:hAnsi="Century Gothic"/>
              </w:rPr>
              <w:t>1</w:t>
            </w:r>
          </w:p>
        </w:tc>
        <w:tc>
          <w:tcPr>
            <w:tcW w:w="1529" w:type="dxa"/>
            <w:shd w:val="clear" w:color="auto" w:fill="92D050"/>
          </w:tcPr>
          <w:p w:rsidR="00F50237" w:rsidP="00C46A2A">
            <w:pPr>
              <w:jc w:val="center"/>
              <w:rPr>
                <w:rFonts w:ascii="Century Gothic" w:hAnsi="Century Gothic"/>
              </w:rPr>
            </w:pPr>
            <w:r>
              <w:rPr>
                <w:rFonts w:ascii="Century Gothic" w:hAnsi="Century Gothic"/>
              </w:rPr>
              <w:t>2</w:t>
            </w:r>
          </w:p>
        </w:tc>
        <w:tc>
          <w:tcPr>
            <w:tcW w:w="3340" w:type="dxa"/>
          </w:tcPr>
          <w:p w:rsidR="00F50237" w:rsidP="00C46A2A">
            <w:pPr>
              <w:rPr>
                <w:rFonts w:ascii="Century Gothic" w:hAnsi="Century Gothic" w:cs="Arial"/>
                <w:color w:val="000000"/>
              </w:rPr>
            </w:pPr>
            <w:r>
              <w:rPr>
                <w:rFonts w:ascii="Century Gothic" w:hAnsi="Century Gothic" w:cs="Arial"/>
                <w:color w:val="000000"/>
              </w:rPr>
              <w:t>Key roles and responsibilities are and will be further defined within the scope so all members of the project team are aware of their key roles and responsibilities</w:t>
            </w:r>
          </w:p>
          <w:p w:rsidR="00F50237" w:rsidP="00C46A2A">
            <w:pPr>
              <w:rPr>
                <w:rFonts w:ascii="Century Gothic" w:hAnsi="Century Gothic"/>
              </w:rPr>
            </w:pPr>
          </w:p>
        </w:tc>
      </w:tr>
      <w:tr w:rsidTr="00F540A3">
        <w:tblPrEx>
          <w:tblW w:w="0" w:type="auto"/>
          <w:tblLook w:val="04A0"/>
        </w:tblPrEx>
        <w:tc>
          <w:tcPr>
            <w:tcW w:w="1917" w:type="dxa"/>
          </w:tcPr>
          <w:p w:rsidR="00F50237" w:rsidP="00C46A2A">
            <w:pPr>
              <w:rPr>
                <w:rFonts w:ascii="Century Gothic" w:hAnsi="Century Gothic" w:cs="Arial"/>
                <w:color w:val="000000"/>
              </w:rPr>
            </w:pPr>
            <w:r>
              <w:rPr>
                <w:rFonts w:ascii="Century Gothic" w:hAnsi="Century Gothic" w:cs="Arial"/>
                <w:color w:val="000000"/>
              </w:rPr>
              <w:t>Loss of SRO</w:t>
            </w:r>
          </w:p>
          <w:p w:rsidR="00F50237" w:rsidP="00C46A2A">
            <w:pPr>
              <w:rPr>
                <w:rFonts w:ascii="Century Gothic" w:hAnsi="Century Gothic"/>
              </w:rPr>
            </w:pPr>
          </w:p>
        </w:tc>
        <w:tc>
          <w:tcPr>
            <w:tcW w:w="1440" w:type="dxa"/>
          </w:tcPr>
          <w:p w:rsidR="00F50237" w:rsidP="00C46A2A">
            <w:pPr>
              <w:jc w:val="center"/>
              <w:rPr>
                <w:rFonts w:ascii="Century Gothic" w:hAnsi="Century Gothic"/>
              </w:rPr>
            </w:pPr>
            <w:r>
              <w:rPr>
                <w:rFonts w:ascii="Century Gothic" w:hAnsi="Century Gothic"/>
              </w:rPr>
              <w:t>1</w:t>
            </w:r>
          </w:p>
        </w:tc>
        <w:tc>
          <w:tcPr>
            <w:tcW w:w="1402" w:type="dxa"/>
          </w:tcPr>
          <w:p w:rsidR="00F50237" w:rsidP="00C46A2A">
            <w:pPr>
              <w:jc w:val="center"/>
              <w:rPr>
                <w:rFonts w:ascii="Century Gothic" w:hAnsi="Century Gothic"/>
              </w:rPr>
            </w:pPr>
            <w:r>
              <w:rPr>
                <w:rFonts w:ascii="Century Gothic" w:hAnsi="Century Gothic"/>
              </w:rPr>
              <w:t>3</w:t>
            </w:r>
          </w:p>
        </w:tc>
        <w:tc>
          <w:tcPr>
            <w:tcW w:w="1529" w:type="dxa"/>
            <w:shd w:val="clear" w:color="auto" w:fill="92D050"/>
          </w:tcPr>
          <w:p w:rsidR="00F50237" w:rsidP="00C46A2A">
            <w:pPr>
              <w:jc w:val="center"/>
              <w:rPr>
                <w:rFonts w:ascii="Century Gothic" w:hAnsi="Century Gothic"/>
              </w:rPr>
            </w:pPr>
            <w:r>
              <w:rPr>
                <w:rFonts w:ascii="Century Gothic" w:hAnsi="Century Gothic"/>
              </w:rPr>
              <w:t>3</w:t>
            </w:r>
          </w:p>
        </w:tc>
        <w:tc>
          <w:tcPr>
            <w:tcW w:w="3340" w:type="dxa"/>
          </w:tcPr>
          <w:p w:rsidR="00F50237" w:rsidP="00C46A2A">
            <w:pPr>
              <w:rPr>
                <w:rFonts w:ascii="Century Gothic" w:hAnsi="Century Gothic" w:cs="Arial"/>
                <w:color w:val="000000"/>
              </w:rPr>
            </w:pPr>
            <w:r>
              <w:rPr>
                <w:rFonts w:ascii="Century Gothic" w:hAnsi="Century Gothic" w:cs="Arial"/>
                <w:color w:val="000000"/>
              </w:rPr>
              <w:t>The project is well defined which is hoped to ease the transition to a new SRO</w:t>
            </w:r>
          </w:p>
          <w:p w:rsidR="00F50237" w:rsidP="00C46A2A">
            <w:pPr>
              <w:rPr>
                <w:rFonts w:ascii="Century Gothic" w:hAnsi="Century Gothic"/>
              </w:rPr>
            </w:pPr>
          </w:p>
        </w:tc>
      </w:tr>
      <w:tr w:rsidTr="00F540A3">
        <w:tblPrEx>
          <w:tblW w:w="0" w:type="auto"/>
          <w:tblLook w:val="04A0"/>
        </w:tblPrEx>
        <w:tc>
          <w:tcPr>
            <w:tcW w:w="1917" w:type="dxa"/>
          </w:tcPr>
          <w:p w:rsidR="00F50237" w:rsidP="00C46A2A">
            <w:pPr>
              <w:rPr>
                <w:rFonts w:ascii="Century Gothic" w:hAnsi="Century Gothic" w:cs="Arial"/>
                <w:color w:val="000000"/>
              </w:rPr>
            </w:pPr>
            <w:r>
              <w:rPr>
                <w:rFonts w:ascii="Century Gothic" w:hAnsi="Century Gothic" w:cs="Arial"/>
                <w:color w:val="000000"/>
              </w:rPr>
              <w:t>Loss of Project Manager</w:t>
            </w:r>
          </w:p>
          <w:p w:rsidR="00F50237" w:rsidP="00C46A2A">
            <w:pPr>
              <w:rPr>
                <w:rFonts w:ascii="Century Gothic" w:hAnsi="Century Gothic"/>
              </w:rPr>
            </w:pPr>
          </w:p>
        </w:tc>
        <w:tc>
          <w:tcPr>
            <w:tcW w:w="1440" w:type="dxa"/>
          </w:tcPr>
          <w:p w:rsidR="00F50237" w:rsidP="00C46A2A">
            <w:pPr>
              <w:jc w:val="center"/>
              <w:rPr>
                <w:rFonts w:ascii="Century Gothic" w:hAnsi="Century Gothic"/>
              </w:rPr>
            </w:pPr>
            <w:r>
              <w:rPr>
                <w:rFonts w:ascii="Century Gothic" w:hAnsi="Century Gothic"/>
              </w:rPr>
              <w:t>1</w:t>
            </w:r>
          </w:p>
        </w:tc>
        <w:tc>
          <w:tcPr>
            <w:tcW w:w="1402" w:type="dxa"/>
          </w:tcPr>
          <w:p w:rsidR="00F50237" w:rsidP="00C46A2A">
            <w:pPr>
              <w:jc w:val="center"/>
              <w:rPr>
                <w:rFonts w:ascii="Century Gothic" w:hAnsi="Century Gothic"/>
              </w:rPr>
            </w:pPr>
            <w:r>
              <w:rPr>
                <w:rFonts w:ascii="Century Gothic" w:hAnsi="Century Gothic"/>
              </w:rPr>
              <w:t>3</w:t>
            </w:r>
          </w:p>
        </w:tc>
        <w:tc>
          <w:tcPr>
            <w:tcW w:w="1529" w:type="dxa"/>
            <w:shd w:val="clear" w:color="auto" w:fill="92D050"/>
          </w:tcPr>
          <w:p w:rsidR="00F50237" w:rsidP="00C46A2A">
            <w:pPr>
              <w:jc w:val="center"/>
              <w:rPr>
                <w:rFonts w:ascii="Century Gothic" w:hAnsi="Century Gothic"/>
              </w:rPr>
            </w:pPr>
            <w:r>
              <w:rPr>
                <w:rFonts w:ascii="Century Gothic" w:hAnsi="Century Gothic"/>
              </w:rPr>
              <w:t>3</w:t>
            </w:r>
          </w:p>
        </w:tc>
        <w:tc>
          <w:tcPr>
            <w:tcW w:w="3340" w:type="dxa"/>
          </w:tcPr>
          <w:p w:rsidR="00F50237" w:rsidP="00C46A2A">
            <w:pPr>
              <w:rPr>
                <w:rFonts w:ascii="Century Gothic" w:hAnsi="Century Gothic" w:cs="Arial"/>
                <w:color w:val="000000"/>
              </w:rPr>
            </w:pPr>
            <w:r>
              <w:rPr>
                <w:rFonts w:ascii="Century Gothic" w:hAnsi="Century Gothic" w:cs="Arial"/>
                <w:color w:val="000000"/>
              </w:rPr>
              <w:t>The project is well defined which is hoped to ease the transition to a new Project Manager</w:t>
            </w:r>
          </w:p>
          <w:p w:rsidR="00F50237" w:rsidP="00C46A2A">
            <w:pPr>
              <w:rPr>
                <w:rFonts w:ascii="Century Gothic" w:hAnsi="Century Gothic"/>
              </w:rPr>
            </w:pPr>
          </w:p>
        </w:tc>
      </w:tr>
      <w:tr w:rsidTr="00F540A3">
        <w:tblPrEx>
          <w:tblW w:w="0" w:type="auto"/>
          <w:tblLook w:val="04A0"/>
        </w:tblPrEx>
        <w:tc>
          <w:tcPr>
            <w:tcW w:w="1917" w:type="dxa"/>
          </w:tcPr>
          <w:p w:rsidR="00F50237" w:rsidP="00C46A2A">
            <w:pPr>
              <w:rPr>
                <w:rFonts w:ascii="Century Gothic" w:hAnsi="Century Gothic" w:cs="Arial"/>
                <w:color w:val="000000"/>
              </w:rPr>
            </w:pPr>
            <w:r>
              <w:rPr>
                <w:rFonts w:ascii="Century Gothic" w:hAnsi="Century Gothic" w:cs="Arial"/>
                <w:color w:val="000000"/>
              </w:rPr>
              <w:t>Project</w:t>
            </w:r>
            <w:r>
              <w:rPr>
                <w:rFonts w:ascii="Century Gothic" w:hAnsi="Century Gothic" w:cs="Arial"/>
                <w:color w:val="000000"/>
              </w:rPr>
              <w:t xml:space="preserve"> scope creep</w:t>
            </w:r>
          </w:p>
          <w:p w:rsidR="00F50237" w:rsidP="00C46A2A">
            <w:pPr>
              <w:rPr>
                <w:rFonts w:ascii="Century Gothic" w:hAnsi="Century Gothic" w:cs="Arial"/>
                <w:color w:val="000000"/>
              </w:rPr>
            </w:pPr>
          </w:p>
        </w:tc>
        <w:tc>
          <w:tcPr>
            <w:tcW w:w="1440" w:type="dxa"/>
          </w:tcPr>
          <w:p w:rsidR="00F50237" w:rsidP="00C46A2A">
            <w:pPr>
              <w:jc w:val="center"/>
              <w:rPr>
                <w:rFonts w:ascii="Century Gothic" w:hAnsi="Century Gothic"/>
              </w:rPr>
            </w:pPr>
            <w:r>
              <w:rPr>
                <w:rFonts w:ascii="Century Gothic" w:hAnsi="Century Gothic"/>
              </w:rPr>
              <w:t>3</w:t>
            </w:r>
          </w:p>
        </w:tc>
        <w:tc>
          <w:tcPr>
            <w:tcW w:w="1402" w:type="dxa"/>
          </w:tcPr>
          <w:p w:rsidR="00F50237" w:rsidP="00C46A2A">
            <w:pPr>
              <w:jc w:val="center"/>
              <w:rPr>
                <w:rFonts w:ascii="Century Gothic" w:hAnsi="Century Gothic"/>
              </w:rPr>
            </w:pPr>
            <w:r>
              <w:rPr>
                <w:rFonts w:ascii="Century Gothic" w:hAnsi="Century Gothic"/>
              </w:rPr>
              <w:t>2</w:t>
            </w:r>
          </w:p>
        </w:tc>
        <w:tc>
          <w:tcPr>
            <w:tcW w:w="1529" w:type="dxa"/>
            <w:shd w:val="clear" w:color="auto" w:fill="FFC000"/>
          </w:tcPr>
          <w:p w:rsidR="00F50237" w:rsidP="00C46A2A">
            <w:pPr>
              <w:jc w:val="center"/>
              <w:rPr>
                <w:rFonts w:ascii="Century Gothic" w:hAnsi="Century Gothic"/>
              </w:rPr>
            </w:pPr>
            <w:r>
              <w:rPr>
                <w:rFonts w:ascii="Century Gothic" w:hAnsi="Century Gothic"/>
              </w:rPr>
              <w:t>6</w:t>
            </w:r>
          </w:p>
        </w:tc>
        <w:tc>
          <w:tcPr>
            <w:tcW w:w="3340" w:type="dxa"/>
          </w:tcPr>
          <w:p w:rsidR="00F50237" w:rsidP="00C46A2A">
            <w:pPr>
              <w:rPr>
                <w:rFonts w:ascii="Century Gothic" w:hAnsi="Century Gothic" w:cs="Arial"/>
                <w:color w:val="000000"/>
              </w:rPr>
            </w:pPr>
            <w:r>
              <w:rPr>
                <w:rFonts w:ascii="Century Gothic" w:hAnsi="Century Gothic" w:cs="Arial"/>
                <w:color w:val="000000"/>
              </w:rPr>
              <w:t>The project is well defined and it is hoped that whilst there may be slight changes to deliverables, there are no wholesale changes from the defined scope</w:t>
            </w:r>
            <w:r w:rsidR="007D10BD">
              <w:rPr>
                <w:rFonts w:ascii="Century Gothic" w:hAnsi="Century Gothic" w:cs="Arial"/>
                <w:color w:val="000000"/>
              </w:rPr>
              <w:t>. A planned review will take place following the Health Check milestone to revise the project scope and introduce any applicable changes.</w:t>
            </w:r>
          </w:p>
          <w:p w:rsidR="00F50237" w:rsidP="00C46A2A">
            <w:pPr>
              <w:rPr>
                <w:rFonts w:ascii="Century Gothic" w:hAnsi="Century Gothic"/>
              </w:rPr>
            </w:pPr>
          </w:p>
        </w:tc>
      </w:tr>
      <w:tr w:rsidTr="00F540A3">
        <w:tblPrEx>
          <w:tblW w:w="0" w:type="auto"/>
          <w:tblLook w:val="04A0"/>
        </w:tblPrEx>
        <w:tc>
          <w:tcPr>
            <w:tcW w:w="1917" w:type="dxa"/>
          </w:tcPr>
          <w:p w:rsidR="00F50237" w:rsidP="00C46A2A">
            <w:pPr>
              <w:rPr>
                <w:rFonts w:ascii="Century Gothic" w:hAnsi="Century Gothic" w:cs="Arial"/>
                <w:color w:val="000000"/>
              </w:rPr>
            </w:pPr>
            <w:r>
              <w:rPr>
                <w:rFonts w:ascii="Century Gothic" w:hAnsi="Century Gothic" w:cs="Arial"/>
                <w:color w:val="000000"/>
              </w:rPr>
              <w:t>Low motivation within project team</w:t>
            </w:r>
          </w:p>
          <w:p w:rsidR="00F50237" w:rsidP="00C46A2A">
            <w:pPr>
              <w:rPr>
                <w:rFonts w:ascii="Century Gothic" w:hAnsi="Century Gothic"/>
              </w:rPr>
            </w:pPr>
          </w:p>
        </w:tc>
        <w:tc>
          <w:tcPr>
            <w:tcW w:w="1440" w:type="dxa"/>
          </w:tcPr>
          <w:p w:rsidR="00F50237" w:rsidP="00C46A2A">
            <w:pPr>
              <w:jc w:val="center"/>
              <w:rPr>
                <w:rFonts w:ascii="Century Gothic" w:hAnsi="Century Gothic"/>
              </w:rPr>
            </w:pPr>
            <w:r>
              <w:rPr>
                <w:rFonts w:ascii="Century Gothic" w:hAnsi="Century Gothic"/>
              </w:rPr>
              <w:t>3</w:t>
            </w:r>
          </w:p>
        </w:tc>
        <w:tc>
          <w:tcPr>
            <w:tcW w:w="1402" w:type="dxa"/>
          </w:tcPr>
          <w:p w:rsidR="00F50237" w:rsidP="00C46A2A">
            <w:pPr>
              <w:jc w:val="center"/>
              <w:rPr>
                <w:rFonts w:ascii="Century Gothic" w:hAnsi="Century Gothic"/>
              </w:rPr>
            </w:pPr>
            <w:r>
              <w:rPr>
                <w:rFonts w:ascii="Century Gothic" w:hAnsi="Century Gothic"/>
              </w:rPr>
              <w:t>2</w:t>
            </w:r>
          </w:p>
        </w:tc>
        <w:tc>
          <w:tcPr>
            <w:tcW w:w="1529" w:type="dxa"/>
            <w:shd w:val="clear" w:color="auto" w:fill="FFC000"/>
          </w:tcPr>
          <w:p w:rsidR="00F50237" w:rsidP="00C46A2A">
            <w:pPr>
              <w:jc w:val="center"/>
              <w:rPr>
                <w:rFonts w:ascii="Century Gothic" w:hAnsi="Century Gothic"/>
              </w:rPr>
            </w:pPr>
            <w:r>
              <w:rPr>
                <w:rFonts w:ascii="Century Gothic" w:hAnsi="Century Gothic"/>
              </w:rPr>
              <w:t>6</w:t>
            </w:r>
          </w:p>
        </w:tc>
        <w:tc>
          <w:tcPr>
            <w:tcW w:w="3340" w:type="dxa"/>
          </w:tcPr>
          <w:p w:rsidR="00F50237" w:rsidP="00C46A2A">
            <w:pPr>
              <w:rPr>
                <w:rFonts w:ascii="Century Gothic" w:hAnsi="Century Gothic" w:cs="Arial"/>
                <w:color w:val="000000"/>
              </w:rPr>
            </w:pPr>
            <w:r>
              <w:rPr>
                <w:rFonts w:ascii="Century Gothic" w:hAnsi="Century Gothic" w:cs="Arial"/>
                <w:color w:val="000000"/>
              </w:rPr>
              <w:t>As roles and responsibilities are clearly defined, it is hoped that motivation is maintained, although issues can be dealt with as they arise.</w:t>
            </w:r>
          </w:p>
          <w:p w:rsidR="00F50237" w:rsidP="00C46A2A">
            <w:pPr>
              <w:rPr>
                <w:rFonts w:ascii="Century Gothic" w:hAnsi="Century Gothic"/>
              </w:rPr>
            </w:pPr>
          </w:p>
        </w:tc>
      </w:tr>
      <w:tr w:rsidTr="00F540A3">
        <w:tblPrEx>
          <w:tblW w:w="0" w:type="auto"/>
          <w:tblLook w:val="04A0"/>
        </w:tblPrEx>
        <w:tc>
          <w:tcPr>
            <w:tcW w:w="1917" w:type="dxa"/>
          </w:tcPr>
          <w:p w:rsidR="00193D91" w:rsidP="00C46A2A">
            <w:pPr>
              <w:rPr>
                <w:rFonts w:ascii="Century Gothic" w:hAnsi="Century Gothic" w:cs="Arial"/>
                <w:color w:val="000000"/>
              </w:rPr>
            </w:pPr>
            <w:r>
              <w:rPr>
                <w:rFonts w:ascii="Century Gothic" w:hAnsi="Century Gothic" w:cs="Arial"/>
                <w:color w:val="000000"/>
              </w:rPr>
              <w:t xml:space="preserve">Health check unearths major challenges </w:t>
            </w:r>
            <w:r>
              <w:rPr>
                <w:rFonts w:ascii="Century Gothic" w:hAnsi="Century Gothic" w:cs="Arial"/>
                <w:color w:val="000000"/>
              </w:rPr>
              <w:t>requiring further investment (time or financial)</w:t>
            </w:r>
            <w:r w:rsidR="00344E8C">
              <w:rPr>
                <w:rFonts w:ascii="Century Gothic" w:hAnsi="Century Gothic" w:cs="Arial"/>
                <w:color w:val="000000"/>
              </w:rPr>
              <w:t xml:space="preserve"> to resolve.</w:t>
            </w:r>
          </w:p>
        </w:tc>
        <w:tc>
          <w:tcPr>
            <w:tcW w:w="1440" w:type="dxa"/>
          </w:tcPr>
          <w:p w:rsidR="00193D91" w:rsidP="00C46A2A">
            <w:pPr>
              <w:jc w:val="center"/>
              <w:rPr>
                <w:rFonts w:ascii="Century Gothic" w:hAnsi="Century Gothic"/>
              </w:rPr>
            </w:pPr>
            <w:r>
              <w:rPr>
                <w:rFonts w:ascii="Century Gothic" w:hAnsi="Century Gothic"/>
              </w:rPr>
              <w:t>3</w:t>
            </w:r>
          </w:p>
        </w:tc>
        <w:tc>
          <w:tcPr>
            <w:tcW w:w="1402" w:type="dxa"/>
          </w:tcPr>
          <w:p w:rsidR="00193D91" w:rsidP="00C46A2A">
            <w:pPr>
              <w:jc w:val="center"/>
              <w:rPr>
                <w:rFonts w:ascii="Century Gothic" w:hAnsi="Century Gothic"/>
              </w:rPr>
            </w:pPr>
            <w:r>
              <w:rPr>
                <w:rFonts w:ascii="Century Gothic" w:hAnsi="Century Gothic"/>
              </w:rPr>
              <w:t>3</w:t>
            </w:r>
          </w:p>
        </w:tc>
        <w:tc>
          <w:tcPr>
            <w:tcW w:w="1529" w:type="dxa"/>
            <w:shd w:val="clear" w:color="auto" w:fill="FFC000"/>
          </w:tcPr>
          <w:p w:rsidR="00193D91" w:rsidP="00C46A2A">
            <w:pPr>
              <w:jc w:val="center"/>
              <w:rPr>
                <w:rFonts w:ascii="Century Gothic" w:hAnsi="Century Gothic"/>
              </w:rPr>
            </w:pPr>
          </w:p>
        </w:tc>
        <w:tc>
          <w:tcPr>
            <w:tcW w:w="3340" w:type="dxa"/>
          </w:tcPr>
          <w:p w:rsidR="00193D91" w:rsidP="00C46A2A">
            <w:pPr>
              <w:rPr>
                <w:rFonts w:ascii="Century Gothic" w:hAnsi="Century Gothic" w:cs="Arial"/>
                <w:color w:val="000000"/>
              </w:rPr>
            </w:pPr>
            <w:r>
              <w:rPr>
                <w:rFonts w:ascii="Century Gothic" w:hAnsi="Century Gothic" w:cs="Arial"/>
                <w:color w:val="000000"/>
              </w:rPr>
              <w:t xml:space="preserve">Build in contingency funding and time for in the event </w:t>
            </w:r>
            <w:r>
              <w:rPr>
                <w:rFonts w:ascii="Century Gothic" w:hAnsi="Century Gothic" w:cs="Arial"/>
                <w:color w:val="000000"/>
              </w:rPr>
              <w:t>that additional resources are required to rectify.</w:t>
            </w:r>
          </w:p>
        </w:tc>
      </w:tr>
    </w:tbl>
    <w:p w:rsidR="00F50237">
      <w:pPr>
        <w:spacing w:before="240" w:after="60"/>
        <w:jc w:val="center"/>
        <w:outlineLvl w:val="1"/>
        <w:rPr>
          <w:rFonts w:ascii="Century Gothic" w:eastAsia="Times New Roman" w:hAnsi="Century Gothic" w:cs="Arial"/>
          <w:bCs/>
          <w:iCs/>
          <w:color w:val="auto"/>
          <w:szCs w:val="20"/>
        </w:rPr>
      </w:pPr>
    </w:p>
    <w:p w:rsidR="00F14060">
      <w:pPr>
        <w:keepNext/>
        <w:spacing w:before="240" w:after="60"/>
        <w:outlineLvl w:val="1"/>
        <w:rPr>
          <w:rFonts w:ascii="Century Gothic" w:eastAsia="Times New Roman" w:hAnsi="Century Gothic" w:cs="Arial"/>
          <w:b/>
          <w:bCs/>
          <w:iCs/>
          <w:color w:val="auto"/>
          <w:sz w:val="32"/>
          <w:szCs w:val="20"/>
        </w:rPr>
      </w:pPr>
      <w:r>
        <w:rPr>
          <w:rFonts w:ascii="Century Gothic" w:eastAsia="Times New Roman" w:hAnsi="Century Gothic" w:cs="Arial"/>
          <w:b/>
          <w:bCs/>
          <w:iCs/>
          <w:color w:val="auto"/>
          <w:sz w:val="32"/>
          <w:szCs w:val="20"/>
        </w:rPr>
        <w:t>Performance Management</w:t>
      </w:r>
    </w:p>
    <w:p w:rsidR="005F563B" w:rsidP="005F563B">
      <w:pPr>
        <w:spacing w:before="240" w:after="60"/>
        <w:outlineLvl w:val="1"/>
        <w:rPr>
          <w:rFonts w:ascii="Century Gothic" w:eastAsia="Times New Roman" w:hAnsi="Century Gothic" w:cs="Arial"/>
          <w:bCs/>
          <w:iCs/>
          <w:szCs w:val="20"/>
        </w:rPr>
      </w:pPr>
      <w:r>
        <w:rPr>
          <w:rFonts w:ascii="Century Gothic" w:eastAsia="Times New Roman" w:hAnsi="Century Gothic" w:cs="Arial"/>
          <w:bCs/>
          <w:iCs/>
          <w:szCs w:val="20"/>
        </w:rPr>
        <w:t xml:space="preserve">Performance Management will be monitored, reviewed and improved, in line with the Digital to Improve Performance Framework, which was approved alongside the Digital to Improve Programme. </w:t>
      </w:r>
    </w:p>
    <w:p w:rsidR="005F563B" w:rsidP="005F563B">
      <w:pPr>
        <w:spacing w:before="240" w:after="60"/>
        <w:outlineLvl w:val="1"/>
        <w:rPr>
          <w:rFonts w:ascii="Century Gothic" w:eastAsia="Times New Roman" w:hAnsi="Century Gothic" w:cs="Arial"/>
          <w:bCs/>
          <w:iCs/>
          <w:szCs w:val="20"/>
        </w:rPr>
      </w:pPr>
      <w:r>
        <w:rPr>
          <w:rFonts w:ascii="Century Gothic" w:eastAsia="Times New Roman" w:hAnsi="Century Gothic" w:cs="Arial"/>
          <w:bCs/>
          <w:iCs/>
          <w:szCs w:val="20"/>
        </w:rPr>
        <w:t xml:space="preserve">Progress will be reported to the Digital to Improve Programme Board who will also advise, and make any major decisions during implementation and planning. Progress will then be reported to the Corporate Planning Programme Board. </w:t>
      </w:r>
    </w:p>
    <w:p w:rsidR="005F563B" w:rsidP="005F563B">
      <w:pPr>
        <w:spacing w:before="240" w:after="60"/>
        <w:outlineLvl w:val="1"/>
        <w:rPr>
          <w:rFonts w:ascii="Century Gothic" w:eastAsia="Times New Roman" w:hAnsi="Century Gothic" w:cs="Arial"/>
          <w:bCs/>
          <w:iCs/>
          <w:szCs w:val="20"/>
        </w:rPr>
      </w:pPr>
      <w:r>
        <w:rPr>
          <w:rFonts w:ascii="Century Gothic" w:eastAsia="Times New Roman" w:hAnsi="Century Gothic" w:cs="Arial"/>
          <w:bCs/>
          <w:iCs/>
          <w:szCs w:val="20"/>
        </w:rPr>
        <w:t xml:space="preserve">InPhase will be accessible to the SRO and Project Manager </w:t>
      </w:r>
      <w:r>
        <w:rPr>
          <w:rFonts w:ascii="Century Gothic" w:eastAsia="Times New Roman" w:hAnsi="Century Gothic" w:cs="Arial"/>
          <w:bCs/>
          <w:iCs/>
          <w:szCs w:val="20"/>
        </w:rPr>
        <w:t>roles</w:t>
      </w:r>
      <w:r>
        <w:rPr>
          <w:rFonts w:ascii="Century Gothic" w:eastAsia="Times New Roman" w:hAnsi="Century Gothic" w:cs="Arial"/>
          <w:bCs/>
          <w:iCs/>
          <w:szCs w:val="20"/>
        </w:rPr>
        <w:t>, as well as Project Support. This will allow for live progress reporting and provide commentary and updates on key milestones.</w:t>
      </w:r>
    </w:p>
    <w:p w:rsidR="005F563B" w:rsidRPr="005F563B">
      <w:pPr>
        <w:keepNext/>
        <w:spacing w:before="240" w:after="60"/>
        <w:outlineLvl w:val="1"/>
        <w:rPr>
          <w:rFonts w:ascii="Century Gothic" w:eastAsia="Times New Roman" w:hAnsi="Century Gothic" w:cs="Arial"/>
          <w:bCs/>
          <w:iCs/>
          <w:szCs w:val="20"/>
        </w:rPr>
      </w:pPr>
      <w:r>
        <w:rPr>
          <w:rFonts w:ascii="Century Gothic" w:eastAsia="Times New Roman" w:hAnsi="Century Gothic" w:cs="Arial"/>
          <w:bCs/>
          <w:iCs/>
          <w:szCs w:val="20"/>
        </w:rPr>
        <w:t xml:space="preserve">Proposed </w:t>
      </w:r>
      <w:r>
        <w:rPr>
          <w:rFonts w:ascii="Century Gothic" w:eastAsia="Times New Roman" w:hAnsi="Century Gothic" w:cs="Arial"/>
          <w:bCs/>
          <w:iCs/>
          <w:szCs w:val="20"/>
        </w:rPr>
        <w:t>Key performance indicators have been identified, and whilst subject to change, will be used to evaluate the success of each individual project within the programme:</w:t>
      </w:r>
    </w:p>
    <w:p w:rsidR="00F14060">
      <w:pPr>
        <w:spacing w:after="60"/>
        <w:outlineLvl w:val="1"/>
        <w:rPr>
          <w:rFonts w:ascii="Century Gothic" w:hAnsi="Century Gothic"/>
        </w:rPr>
      </w:pPr>
    </w:p>
    <w:tbl>
      <w:tblPr>
        <w:tblStyle w:val="TableGrid"/>
        <w:tblW w:w="10348" w:type="dxa"/>
        <w:jc w:val="center"/>
        <w:tblLook w:val="04A0"/>
      </w:tblPr>
      <w:tblGrid>
        <w:gridCol w:w="1714"/>
        <w:gridCol w:w="2789"/>
        <w:gridCol w:w="1702"/>
        <w:gridCol w:w="1195"/>
        <w:gridCol w:w="1440"/>
        <w:gridCol w:w="1508"/>
      </w:tblGrid>
      <w:tr w:rsidTr="000420D5">
        <w:tblPrEx>
          <w:tblW w:w="10348" w:type="dxa"/>
          <w:jc w:val="center"/>
          <w:tblLook w:val="04A0"/>
        </w:tblPrEx>
        <w:trPr>
          <w:jc w:val="center"/>
        </w:trPr>
        <w:tc>
          <w:tcPr>
            <w:tcW w:w="1714" w:type="dxa"/>
            <w:tcBorders>
              <w:top w:val="nil"/>
              <w:left w:val="nil"/>
              <w:bottom w:val="single" w:sz="4" w:space="0" w:color="auto"/>
              <w:right w:val="single" w:sz="4" w:space="0" w:color="auto"/>
            </w:tcBorders>
            <w:shd w:val="clear" w:color="auto" w:fill="FFFFFF" w:themeFill="background1"/>
          </w:tcPr>
          <w:p w:rsidR="00CC6F03">
            <w:pPr>
              <w:rPr>
                <w:rFonts w:ascii="Century Gothic" w:hAnsi="Century Gothic"/>
                <w:b/>
              </w:rPr>
            </w:pPr>
          </w:p>
        </w:tc>
        <w:tc>
          <w:tcPr>
            <w:tcW w:w="2789" w:type="dxa"/>
            <w:tcBorders>
              <w:left w:val="single" w:sz="4" w:space="0" w:color="auto"/>
            </w:tcBorders>
            <w:shd w:val="clear" w:color="auto" w:fill="D9D9D9" w:themeFill="background1" w:themeFillShade="D9"/>
          </w:tcPr>
          <w:p w:rsidR="00CC6F03" w:rsidP="00F20943">
            <w:pPr>
              <w:jc w:val="center"/>
              <w:rPr>
                <w:rFonts w:ascii="Century Gothic" w:hAnsi="Century Gothic"/>
                <w:b/>
              </w:rPr>
            </w:pPr>
            <w:r>
              <w:rPr>
                <w:rFonts w:ascii="Century Gothic" w:hAnsi="Century Gothic"/>
                <w:b/>
              </w:rPr>
              <w:t>Key Performance Indicators (KPI)</w:t>
            </w:r>
          </w:p>
        </w:tc>
        <w:tc>
          <w:tcPr>
            <w:tcW w:w="1702" w:type="dxa"/>
            <w:shd w:val="clear" w:color="auto" w:fill="D9D9D9" w:themeFill="background1" w:themeFillShade="D9"/>
          </w:tcPr>
          <w:p w:rsidR="00CC6F03" w:rsidP="00F20943">
            <w:pPr>
              <w:jc w:val="center"/>
              <w:rPr>
                <w:rFonts w:ascii="Century Gothic" w:hAnsi="Century Gothic"/>
                <w:b/>
              </w:rPr>
            </w:pPr>
            <w:r>
              <w:rPr>
                <w:rFonts w:ascii="Century Gothic" w:hAnsi="Century Gothic"/>
                <w:b/>
              </w:rPr>
              <w:t>Determine Via</w:t>
            </w:r>
          </w:p>
        </w:tc>
        <w:tc>
          <w:tcPr>
            <w:tcW w:w="1195" w:type="dxa"/>
            <w:shd w:val="clear" w:color="auto" w:fill="D9D9D9" w:themeFill="background1" w:themeFillShade="D9"/>
          </w:tcPr>
          <w:p w:rsidR="00CC6F03" w:rsidP="00F20943">
            <w:pPr>
              <w:jc w:val="center"/>
              <w:rPr>
                <w:rFonts w:ascii="Century Gothic" w:hAnsi="Century Gothic"/>
                <w:b/>
              </w:rPr>
            </w:pPr>
            <w:r>
              <w:rPr>
                <w:rFonts w:ascii="Century Gothic" w:hAnsi="Century Gothic"/>
                <w:b/>
              </w:rPr>
              <w:t>Baseline</w:t>
            </w:r>
          </w:p>
        </w:tc>
        <w:tc>
          <w:tcPr>
            <w:tcW w:w="1440" w:type="dxa"/>
            <w:shd w:val="clear" w:color="auto" w:fill="D9D9D9" w:themeFill="background1" w:themeFillShade="D9"/>
          </w:tcPr>
          <w:p w:rsidR="00CC6F03" w:rsidP="00F20943">
            <w:pPr>
              <w:jc w:val="center"/>
              <w:rPr>
                <w:rFonts w:ascii="Century Gothic" w:hAnsi="Century Gothic"/>
                <w:b/>
              </w:rPr>
            </w:pPr>
            <w:r>
              <w:rPr>
                <w:rFonts w:ascii="Century Gothic" w:hAnsi="Century Gothic"/>
                <w:b/>
              </w:rPr>
              <w:t>Polarity</w:t>
            </w:r>
          </w:p>
        </w:tc>
        <w:tc>
          <w:tcPr>
            <w:tcW w:w="1508" w:type="dxa"/>
            <w:shd w:val="clear" w:color="auto" w:fill="D9D9D9" w:themeFill="background1" w:themeFillShade="D9"/>
          </w:tcPr>
          <w:p w:rsidR="00CC6F03" w:rsidP="00F20943">
            <w:pPr>
              <w:jc w:val="center"/>
              <w:rPr>
                <w:rFonts w:ascii="Century Gothic" w:hAnsi="Century Gothic"/>
                <w:b/>
              </w:rPr>
            </w:pPr>
            <w:r>
              <w:rPr>
                <w:rFonts w:ascii="Century Gothic" w:hAnsi="Century Gothic"/>
                <w:b/>
              </w:rPr>
              <w:t>Target</w:t>
            </w:r>
          </w:p>
        </w:tc>
      </w:tr>
      <w:tr w:rsidTr="000420D5">
        <w:tblPrEx>
          <w:tblW w:w="10348" w:type="dxa"/>
          <w:jc w:val="center"/>
          <w:tblLook w:val="04A0"/>
        </w:tblPrEx>
        <w:trPr>
          <w:jc w:val="center"/>
        </w:trPr>
        <w:tc>
          <w:tcPr>
            <w:tcW w:w="1714" w:type="dxa"/>
            <w:tcBorders>
              <w:top w:val="single" w:sz="4" w:space="0" w:color="auto"/>
            </w:tcBorders>
          </w:tcPr>
          <w:p w:rsidR="00CC6F03" w:rsidRPr="00A80FAF" w:rsidP="00A80FAF">
            <w:pPr>
              <w:autoSpaceDE w:val="0"/>
              <w:autoSpaceDN w:val="0"/>
              <w:adjustRightInd w:val="0"/>
              <w:rPr>
                <w:rFonts w:ascii="Century Gothic" w:hAnsi="Century Gothic" w:cs="ArialMT"/>
                <w:b/>
              </w:rPr>
            </w:pPr>
            <w:r>
              <w:rPr>
                <w:rFonts w:ascii="Century Gothic" w:hAnsi="Century Gothic" w:cs="ArialMT"/>
                <w:b/>
              </w:rPr>
              <w:t>IDOX Enterprise</w:t>
            </w:r>
          </w:p>
        </w:tc>
        <w:tc>
          <w:tcPr>
            <w:tcW w:w="2789" w:type="dxa"/>
          </w:tcPr>
          <w:p w:rsidR="00CC6F03" w:rsidP="00CC6F03">
            <w:pPr>
              <w:pStyle w:val="ListParagraph"/>
              <w:numPr>
                <w:ilvl w:val="0"/>
                <w:numId w:val="32"/>
              </w:numPr>
              <w:rPr>
                <w:rFonts w:ascii="Century Gothic" w:hAnsi="Century Gothic"/>
              </w:rPr>
            </w:pPr>
            <w:r>
              <w:rPr>
                <w:rFonts w:ascii="Century Gothic" w:hAnsi="Century Gothic"/>
              </w:rPr>
              <w:t>% of applications processed in 8 or 13 weeks.</w:t>
            </w:r>
          </w:p>
          <w:p w:rsidR="00CC6F03" w:rsidP="00CC6F03">
            <w:pPr>
              <w:pStyle w:val="ListParagraph"/>
              <w:numPr>
                <w:ilvl w:val="0"/>
                <w:numId w:val="32"/>
              </w:numPr>
              <w:rPr>
                <w:rFonts w:ascii="Century Gothic" w:hAnsi="Century Gothic"/>
              </w:rPr>
            </w:pPr>
            <w:r>
              <w:rPr>
                <w:rFonts w:ascii="Century Gothic" w:hAnsi="Century Gothic"/>
              </w:rPr>
              <w:t>Number and Type of applications per officer</w:t>
            </w:r>
          </w:p>
          <w:p w:rsidR="00CC6F03" w:rsidP="00CC6F03">
            <w:pPr>
              <w:pStyle w:val="ListParagraph"/>
              <w:numPr>
                <w:ilvl w:val="0"/>
                <w:numId w:val="32"/>
              </w:numPr>
              <w:rPr>
                <w:rFonts w:ascii="Century Gothic" w:hAnsi="Century Gothic"/>
              </w:rPr>
            </w:pPr>
            <w:r>
              <w:rPr>
                <w:rFonts w:ascii="Century Gothic" w:hAnsi="Century Gothic"/>
              </w:rPr>
              <w:t>Number of KPIs available in real time</w:t>
            </w:r>
          </w:p>
          <w:p w:rsidR="00A550C7" w:rsidP="00CC6F03">
            <w:pPr>
              <w:pStyle w:val="ListParagraph"/>
              <w:numPr>
                <w:ilvl w:val="0"/>
                <w:numId w:val="32"/>
              </w:numPr>
              <w:rPr>
                <w:rFonts w:ascii="Century Gothic" w:hAnsi="Century Gothic"/>
              </w:rPr>
            </w:pPr>
            <w:r>
              <w:rPr>
                <w:rFonts w:ascii="Century Gothic" w:hAnsi="Century Gothic"/>
              </w:rPr>
              <w:t>Number of automated workflows</w:t>
            </w:r>
          </w:p>
          <w:p w:rsidR="00FB7C70" w:rsidP="00CC6F03">
            <w:pPr>
              <w:pStyle w:val="ListParagraph"/>
              <w:numPr>
                <w:ilvl w:val="0"/>
                <w:numId w:val="32"/>
              </w:numPr>
              <w:rPr>
                <w:rFonts w:ascii="Century Gothic" w:hAnsi="Century Gothic"/>
              </w:rPr>
            </w:pPr>
            <w:r>
              <w:rPr>
                <w:rFonts w:ascii="Century Gothic" w:hAnsi="Century Gothic"/>
              </w:rPr>
              <w:t>Number of Appeals</w:t>
            </w:r>
          </w:p>
          <w:p w:rsidR="00FB7C70" w:rsidRPr="00CC6F03" w:rsidP="00CC6F03">
            <w:pPr>
              <w:pStyle w:val="ListParagraph"/>
              <w:numPr>
                <w:ilvl w:val="0"/>
                <w:numId w:val="32"/>
              </w:numPr>
              <w:rPr>
                <w:rFonts w:ascii="Century Gothic" w:hAnsi="Century Gothic"/>
              </w:rPr>
            </w:pPr>
            <w:r>
              <w:rPr>
                <w:rFonts w:ascii="Century Gothic" w:hAnsi="Century Gothic"/>
              </w:rPr>
              <w:t>Number of Appeals Allowed</w:t>
            </w:r>
          </w:p>
        </w:tc>
        <w:tc>
          <w:tcPr>
            <w:tcW w:w="1702" w:type="dxa"/>
          </w:tcPr>
          <w:p w:rsidR="00CC6F03">
            <w:pPr>
              <w:rPr>
                <w:rFonts w:ascii="Century Gothic" w:hAnsi="Century Gothic"/>
              </w:rPr>
            </w:pPr>
            <w:r>
              <w:rPr>
                <w:rFonts w:ascii="Century Gothic" w:hAnsi="Century Gothic"/>
              </w:rPr>
              <w:t>IDOX Enterprise Dashboard</w:t>
            </w:r>
          </w:p>
          <w:p w:rsidR="00A550C7">
            <w:pPr>
              <w:rPr>
                <w:rFonts w:ascii="Century Gothic" w:hAnsi="Century Gothic"/>
              </w:rPr>
            </w:pPr>
            <w:r>
              <w:rPr>
                <w:rFonts w:ascii="Century Gothic" w:hAnsi="Century Gothic"/>
              </w:rPr>
              <w:t>IDOX Enterprise Dashboard</w:t>
            </w:r>
          </w:p>
          <w:p w:rsidR="00A550C7">
            <w:pPr>
              <w:rPr>
                <w:rFonts w:ascii="Century Gothic" w:hAnsi="Century Gothic"/>
              </w:rPr>
            </w:pPr>
          </w:p>
          <w:p w:rsidR="00A550C7">
            <w:pPr>
              <w:rPr>
                <w:rFonts w:ascii="Century Gothic" w:hAnsi="Century Gothic"/>
              </w:rPr>
            </w:pPr>
            <w:r>
              <w:rPr>
                <w:rFonts w:ascii="Century Gothic" w:hAnsi="Century Gothic"/>
              </w:rPr>
              <w:t>IDOX Enterprise Dashboard</w:t>
            </w:r>
          </w:p>
          <w:p w:rsidR="00A550C7">
            <w:pPr>
              <w:rPr>
                <w:rFonts w:ascii="Century Gothic" w:hAnsi="Century Gothic"/>
              </w:rPr>
            </w:pPr>
            <w:r>
              <w:rPr>
                <w:rFonts w:ascii="Century Gothic" w:hAnsi="Century Gothic"/>
              </w:rPr>
              <w:t>IDOX Enterprise Dashboard</w:t>
            </w:r>
          </w:p>
          <w:p w:rsidR="00FB7C70" w:rsidP="00FB7C70">
            <w:pPr>
              <w:rPr>
                <w:rFonts w:ascii="Century Gothic" w:hAnsi="Century Gothic"/>
              </w:rPr>
            </w:pPr>
            <w:r>
              <w:rPr>
                <w:rFonts w:ascii="Century Gothic" w:hAnsi="Century Gothic"/>
              </w:rPr>
              <w:t>IDOX Enterprise Dashboard</w:t>
            </w:r>
          </w:p>
          <w:p w:rsidR="00FB7C70" w:rsidP="00FB7C70">
            <w:pPr>
              <w:rPr>
                <w:rFonts w:ascii="Century Gothic" w:hAnsi="Century Gothic"/>
              </w:rPr>
            </w:pPr>
            <w:r>
              <w:rPr>
                <w:rFonts w:ascii="Century Gothic" w:hAnsi="Century Gothic"/>
              </w:rPr>
              <w:t>IDOX Enterprise Dashboard</w:t>
            </w:r>
          </w:p>
          <w:p w:rsidR="00FB7C70">
            <w:pPr>
              <w:rPr>
                <w:rFonts w:ascii="Century Gothic" w:hAnsi="Century Gothic"/>
              </w:rPr>
            </w:pPr>
          </w:p>
        </w:tc>
        <w:tc>
          <w:tcPr>
            <w:tcW w:w="1195" w:type="dxa"/>
          </w:tcPr>
          <w:p w:rsidR="00CC6F03">
            <w:pPr>
              <w:rPr>
                <w:rFonts w:ascii="Century Gothic" w:hAnsi="Century Gothic"/>
              </w:rPr>
            </w:pPr>
            <w:r>
              <w:rPr>
                <w:rFonts w:ascii="Century Gothic" w:hAnsi="Century Gothic"/>
              </w:rPr>
              <w:t>TBC</w:t>
            </w:r>
          </w:p>
        </w:tc>
        <w:tc>
          <w:tcPr>
            <w:tcW w:w="1440" w:type="dxa"/>
          </w:tcPr>
          <w:p w:rsidR="00CC6F03">
            <w:pPr>
              <w:rPr>
                <w:rFonts w:ascii="Century Gothic" w:hAnsi="Century Gothic"/>
              </w:rPr>
            </w:pPr>
            <w:r>
              <w:rPr>
                <w:rFonts w:ascii="Century Gothic" w:hAnsi="Century Gothic"/>
              </w:rPr>
              <w:t>Higher is Better</w:t>
            </w:r>
          </w:p>
          <w:p w:rsidR="00A550C7">
            <w:pPr>
              <w:rPr>
                <w:rFonts w:ascii="Century Gothic" w:hAnsi="Century Gothic"/>
              </w:rPr>
            </w:pPr>
          </w:p>
          <w:p w:rsidR="00A550C7">
            <w:pPr>
              <w:rPr>
                <w:rFonts w:ascii="Century Gothic" w:hAnsi="Century Gothic"/>
              </w:rPr>
            </w:pPr>
            <w:r>
              <w:rPr>
                <w:rFonts w:ascii="Century Gothic" w:hAnsi="Century Gothic"/>
              </w:rPr>
              <w:t>Higher is Better</w:t>
            </w:r>
          </w:p>
          <w:p w:rsidR="00A550C7">
            <w:pPr>
              <w:rPr>
                <w:rFonts w:ascii="Century Gothic" w:hAnsi="Century Gothic"/>
              </w:rPr>
            </w:pPr>
          </w:p>
          <w:p w:rsidR="00A550C7">
            <w:pPr>
              <w:rPr>
                <w:rFonts w:ascii="Century Gothic" w:hAnsi="Century Gothic"/>
              </w:rPr>
            </w:pPr>
          </w:p>
          <w:p w:rsidR="00A550C7">
            <w:pPr>
              <w:rPr>
                <w:rFonts w:ascii="Century Gothic" w:hAnsi="Century Gothic"/>
              </w:rPr>
            </w:pPr>
            <w:r>
              <w:rPr>
                <w:rFonts w:ascii="Century Gothic" w:hAnsi="Century Gothic"/>
              </w:rPr>
              <w:t>Higher is Better</w:t>
            </w:r>
          </w:p>
          <w:p w:rsidR="00A550C7">
            <w:pPr>
              <w:rPr>
                <w:rFonts w:ascii="Century Gothic" w:hAnsi="Century Gothic"/>
              </w:rPr>
            </w:pPr>
          </w:p>
          <w:p w:rsidR="00A550C7">
            <w:pPr>
              <w:rPr>
                <w:rFonts w:ascii="Century Gothic" w:hAnsi="Century Gothic"/>
              </w:rPr>
            </w:pPr>
            <w:r>
              <w:rPr>
                <w:rFonts w:ascii="Century Gothic" w:hAnsi="Century Gothic"/>
              </w:rPr>
              <w:t>Higher is Better</w:t>
            </w:r>
          </w:p>
          <w:p w:rsidR="00FB7C70">
            <w:pPr>
              <w:rPr>
                <w:rFonts w:ascii="Century Gothic" w:hAnsi="Century Gothic"/>
              </w:rPr>
            </w:pPr>
          </w:p>
          <w:p w:rsidR="00FB7C70">
            <w:pPr>
              <w:rPr>
                <w:rFonts w:ascii="Century Gothic" w:hAnsi="Century Gothic"/>
              </w:rPr>
            </w:pPr>
            <w:r>
              <w:rPr>
                <w:rFonts w:ascii="Century Gothic" w:hAnsi="Century Gothic"/>
              </w:rPr>
              <w:t>Lower is Better</w:t>
            </w:r>
          </w:p>
          <w:p w:rsidR="00FB7C70">
            <w:pPr>
              <w:rPr>
                <w:rFonts w:ascii="Century Gothic" w:hAnsi="Century Gothic"/>
              </w:rPr>
            </w:pPr>
            <w:r>
              <w:rPr>
                <w:rFonts w:ascii="Century Gothic" w:hAnsi="Century Gothic"/>
              </w:rPr>
              <w:t>Lower is Better</w:t>
            </w:r>
          </w:p>
        </w:tc>
        <w:tc>
          <w:tcPr>
            <w:tcW w:w="1508" w:type="dxa"/>
          </w:tcPr>
          <w:p w:rsidR="00CC6F03">
            <w:pPr>
              <w:rPr>
                <w:rFonts w:ascii="Century Gothic" w:hAnsi="Century Gothic"/>
              </w:rPr>
            </w:pPr>
            <w:r>
              <w:rPr>
                <w:rFonts w:ascii="Century Gothic" w:hAnsi="Century Gothic"/>
              </w:rPr>
              <w:t>TBC</w:t>
            </w:r>
          </w:p>
        </w:tc>
      </w:tr>
      <w:tr w:rsidTr="000420D5">
        <w:tblPrEx>
          <w:tblW w:w="10348" w:type="dxa"/>
          <w:jc w:val="center"/>
          <w:tblLook w:val="04A0"/>
        </w:tblPrEx>
        <w:trPr>
          <w:jc w:val="center"/>
        </w:trPr>
        <w:tc>
          <w:tcPr>
            <w:tcW w:w="1714" w:type="dxa"/>
          </w:tcPr>
          <w:p w:rsidR="00CC6F03">
            <w:pPr>
              <w:rPr>
                <w:rFonts w:ascii="Century Gothic" w:hAnsi="Century Gothic"/>
              </w:rPr>
            </w:pPr>
            <w:r>
              <w:rPr>
                <w:rFonts w:ascii="Century Gothic" w:hAnsi="Century Gothic" w:cs="ArialMT"/>
                <w:b/>
              </w:rPr>
              <w:t>IDOX EDRMS</w:t>
            </w:r>
          </w:p>
        </w:tc>
        <w:tc>
          <w:tcPr>
            <w:tcW w:w="2789" w:type="dxa"/>
          </w:tcPr>
          <w:p w:rsidR="00CC6F03" w:rsidP="00CC6F03">
            <w:pPr>
              <w:pStyle w:val="ListParagraph"/>
              <w:numPr>
                <w:ilvl w:val="0"/>
                <w:numId w:val="31"/>
              </w:numPr>
              <w:rPr>
                <w:rFonts w:ascii="Century Gothic" w:hAnsi="Century Gothic"/>
              </w:rPr>
            </w:pPr>
            <w:r>
              <w:rPr>
                <w:rFonts w:ascii="Century Gothic" w:hAnsi="Century Gothic"/>
              </w:rPr>
              <w:t>Number of paperless processes</w:t>
            </w:r>
          </w:p>
          <w:p w:rsidR="00CC6F03" w:rsidRPr="00CC6F03" w:rsidP="00CC6F03">
            <w:pPr>
              <w:pStyle w:val="ListParagraph"/>
              <w:numPr>
                <w:ilvl w:val="0"/>
                <w:numId w:val="31"/>
              </w:numPr>
              <w:rPr>
                <w:rFonts w:ascii="Century Gothic" w:hAnsi="Century Gothic"/>
              </w:rPr>
            </w:pPr>
            <w:r>
              <w:rPr>
                <w:rFonts w:ascii="Century Gothic" w:hAnsi="Century Gothic"/>
              </w:rPr>
              <w:t>Number of Public Access for Planning self service requests</w:t>
            </w:r>
          </w:p>
        </w:tc>
        <w:tc>
          <w:tcPr>
            <w:tcW w:w="1702" w:type="dxa"/>
          </w:tcPr>
          <w:p w:rsidR="00CC6F03">
            <w:pPr>
              <w:rPr>
                <w:rFonts w:ascii="Century Gothic" w:hAnsi="Century Gothic"/>
              </w:rPr>
            </w:pPr>
            <w:r>
              <w:rPr>
                <w:rFonts w:ascii="Century Gothic" w:hAnsi="Century Gothic"/>
              </w:rPr>
              <w:t>Process Maps</w:t>
            </w:r>
          </w:p>
          <w:p w:rsidR="00A550C7">
            <w:pPr>
              <w:rPr>
                <w:rFonts w:ascii="Century Gothic" w:hAnsi="Century Gothic"/>
              </w:rPr>
            </w:pPr>
          </w:p>
          <w:p w:rsidR="00A550C7">
            <w:pPr>
              <w:rPr>
                <w:rFonts w:ascii="Century Gothic" w:hAnsi="Century Gothic"/>
              </w:rPr>
            </w:pPr>
            <w:r>
              <w:rPr>
                <w:rFonts w:ascii="Century Gothic" w:hAnsi="Century Gothic"/>
              </w:rPr>
              <w:t xml:space="preserve">Public Access for Planning / </w:t>
            </w:r>
            <w:r>
              <w:rPr>
                <w:rFonts w:ascii="Century Gothic" w:hAnsi="Century Gothic"/>
              </w:rPr>
              <w:t>Google Analytics</w:t>
            </w:r>
          </w:p>
        </w:tc>
        <w:tc>
          <w:tcPr>
            <w:tcW w:w="1195" w:type="dxa"/>
          </w:tcPr>
          <w:p w:rsidR="00CC6F03">
            <w:pPr>
              <w:rPr>
                <w:rFonts w:ascii="Century Gothic" w:hAnsi="Century Gothic"/>
              </w:rPr>
            </w:pPr>
            <w:r>
              <w:rPr>
                <w:rFonts w:ascii="Century Gothic" w:hAnsi="Century Gothic"/>
              </w:rPr>
              <w:t>TBC</w:t>
            </w:r>
          </w:p>
        </w:tc>
        <w:tc>
          <w:tcPr>
            <w:tcW w:w="1440" w:type="dxa"/>
          </w:tcPr>
          <w:p w:rsidR="00CC6F03">
            <w:pPr>
              <w:rPr>
                <w:rFonts w:ascii="Century Gothic" w:hAnsi="Century Gothic"/>
              </w:rPr>
            </w:pPr>
            <w:r>
              <w:rPr>
                <w:rFonts w:ascii="Century Gothic" w:hAnsi="Century Gothic"/>
              </w:rPr>
              <w:t>Higher is Better</w:t>
            </w:r>
          </w:p>
          <w:p w:rsidR="00A550C7">
            <w:pPr>
              <w:rPr>
                <w:rFonts w:ascii="Century Gothic" w:hAnsi="Century Gothic"/>
              </w:rPr>
            </w:pPr>
          </w:p>
          <w:p w:rsidR="00A550C7">
            <w:pPr>
              <w:rPr>
                <w:rFonts w:ascii="Century Gothic" w:hAnsi="Century Gothic"/>
              </w:rPr>
            </w:pPr>
            <w:r>
              <w:rPr>
                <w:rFonts w:ascii="Century Gothic" w:hAnsi="Century Gothic"/>
              </w:rPr>
              <w:t>Higher is Better</w:t>
            </w:r>
          </w:p>
        </w:tc>
        <w:tc>
          <w:tcPr>
            <w:tcW w:w="1508" w:type="dxa"/>
          </w:tcPr>
          <w:p w:rsidR="00CC6F03">
            <w:pPr>
              <w:rPr>
                <w:rFonts w:ascii="Century Gothic" w:hAnsi="Century Gothic"/>
              </w:rPr>
            </w:pPr>
            <w:r>
              <w:rPr>
                <w:rFonts w:ascii="Century Gothic" w:hAnsi="Century Gothic"/>
              </w:rPr>
              <w:t>TBC</w:t>
            </w:r>
          </w:p>
        </w:tc>
      </w:tr>
      <w:tr w:rsidTr="000420D5">
        <w:tblPrEx>
          <w:tblW w:w="10348" w:type="dxa"/>
          <w:jc w:val="center"/>
          <w:tblLook w:val="04A0"/>
        </w:tblPrEx>
        <w:trPr>
          <w:jc w:val="center"/>
        </w:trPr>
        <w:tc>
          <w:tcPr>
            <w:tcW w:w="1714" w:type="dxa"/>
          </w:tcPr>
          <w:p w:rsidR="00CC6F03" w:rsidRPr="00A80FAF" w:rsidP="00A80FAF">
            <w:pPr>
              <w:autoSpaceDE w:val="0"/>
              <w:autoSpaceDN w:val="0"/>
              <w:adjustRightInd w:val="0"/>
              <w:rPr>
                <w:rFonts w:ascii="Century Gothic" w:hAnsi="Century Gothic" w:cs="ArialMT"/>
                <w:b/>
              </w:rPr>
            </w:pPr>
            <w:r>
              <w:rPr>
                <w:rFonts w:ascii="Century Gothic" w:hAnsi="Century Gothic" w:cs="ArialMT"/>
                <w:b/>
              </w:rPr>
              <w:t>IDOX Licensing</w:t>
            </w:r>
          </w:p>
        </w:tc>
        <w:tc>
          <w:tcPr>
            <w:tcW w:w="2789" w:type="dxa"/>
          </w:tcPr>
          <w:p w:rsidR="00CC6F03" w:rsidP="00A80FAF">
            <w:pPr>
              <w:pStyle w:val="Default"/>
              <w:numPr>
                <w:ilvl w:val="0"/>
                <w:numId w:val="30"/>
              </w:numPr>
              <w:rPr>
                <w:rFonts w:ascii="Century Gothic" w:hAnsi="Century Gothic"/>
                <w:sz w:val="22"/>
                <w:szCs w:val="22"/>
              </w:rPr>
            </w:pPr>
            <w:r>
              <w:rPr>
                <w:rFonts w:ascii="Century Gothic" w:hAnsi="Century Gothic"/>
                <w:sz w:val="22"/>
                <w:szCs w:val="22"/>
              </w:rPr>
              <w:t>Number of self service requests via Public Access for Licensing</w:t>
            </w:r>
          </w:p>
          <w:p w:rsidR="00CC6F03" w:rsidP="00A80FAF">
            <w:pPr>
              <w:pStyle w:val="Default"/>
              <w:numPr>
                <w:ilvl w:val="0"/>
                <w:numId w:val="30"/>
              </w:numPr>
              <w:rPr>
                <w:rFonts w:ascii="Century Gothic" w:hAnsi="Century Gothic"/>
                <w:sz w:val="22"/>
                <w:szCs w:val="22"/>
              </w:rPr>
            </w:pPr>
            <w:r>
              <w:rPr>
                <w:rFonts w:ascii="Century Gothic" w:hAnsi="Century Gothic"/>
                <w:sz w:val="22"/>
                <w:szCs w:val="22"/>
              </w:rPr>
              <w:t>Time taken to process Licensing application</w:t>
            </w:r>
          </w:p>
        </w:tc>
        <w:tc>
          <w:tcPr>
            <w:tcW w:w="1702" w:type="dxa"/>
          </w:tcPr>
          <w:p w:rsidR="00CC6F03" w:rsidP="00A550C7">
            <w:pPr>
              <w:pStyle w:val="Default"/>
              <w:rPr>
                <w:rFonts w:ascii="Century Gothic" w:hAnsi="Century Gothic"/>
                <w:sz w:val="22"/>
              </w:rPr>
            </w:pPr>
            <w:r w:rsidRPr="00A550C7">
              <w:rPr>
                <w:rFonts w:ascii="Century Gothic" w:hAnsi="Century Gothic"/>
                <w:sz w:val="22"/>
              </w:rPr>
              <w:t>Public Access for Licensing / Google Analytics</w:t>
            </w:r>
          </w:p>
          <w:p w:rsidR="00A550C7" w:rsidP="00A550C7">
            <w:pPr>
              <w:rPr>
                <w:rFonts w:ascii="Century Gothic" w:hAnsi="Century Gothic"/>
              </w:rPr>
            </w:pPr>
            <w:r>
              <w:rPr>
                <w:rFonts w:ascii="Century Gothic" w:hAnsi="Century Gothic"/>
              </w:rPr>
              <w:t>IDOX Enterprise Dashboard</w:t>
            </w:r>
          </w:p>
          <w:p w:rsidR="00A550C7" w:rsidP="00A550C7">
            <w:pPr>
              <w:pStyle w:val="Default"/>
              <w:rPr>
                <w:rFonts w:ascii="Century Gothic" w:hAnsi="Century Gothic"/>
                <w:sz w:val="22"/>
              </w:rPr>
            </w:pPr>
          </w:p>
          <w:p w:rsidR="00A550C7" w:rsidP="00A550C7">
            <w:pPr>
              <w:pStyle w:val="Default"/>
              <w:rPr>
                <w:rFonts w:ascii="Century Gothic" w:hAnsi="Century Gothic"/>
                <w:sz w:val="22"/>
                <w:szCs w:val="22"/>
              </w:rPr>
            </w:pPr>
          </w:p>
        </w:tc>
        <w:tc>
          <w:tcPr>
            <w:tcW w:w="1195" w:type="dxa"/>
          </w:tcPr>
          <w:p w:rsidR="00CC6F03">
            <w:pPr>
              <w:pStyle w:val="Default"/>
              <w:rPr>
                <w:rFonts w:ascii="Century Gothic" w:hAnsi="Century Gothic"/>
                <w:sz w:val="22"/>
                <w:szCs w:val="22"/>
              </w:rPr>
            </w:pPr>
            <w:r>
              <w:rPr>
                <w:rFonts w:ascii="Century Gothic" w:hAnsi="Century Gothic"/>
                <w:sz w:val="22"/>
                <w:szCs w:val="22"/>
              </w:rPr>
              <w:t>TBC</w:t>
            </w:r>
          </w:p>
        </w:tc>
        <w:tc>
          <w:tcPr>
            <w:tcW w:w="1440" w:type="dxa"/>
          </w:tcPr>
          <w:p w:rsidR="00CC6F03">
            <w:pPr>
              <w:pStyle w:val="Default"/>
              <w:rPr>
                <w:rFonts w:ascii="Century Gothic" w:hAnsi="Century Gothic"/>
                <w:sz w:val="22"/>
                <w:szCs w:val="22"/>
              </w:rPr>
            </w:pPr>
            <w:r>
              <w:rPr>
                <w:rFonts w:ascii="Century Gothic" w:hAnsi="Century Gothic"/>
                <w:sz w:val="22"/>
                <w:szCs w:val="22"/>
              </w:rPr>
              <w:t>Higher is Better</w:t>
            </w:r>
          </w:p>
          <w:p w:rsidR="00A550C7">
            <w:pPr>
              <w:pStyle w:val="Default"/>
              <w:rPr>
                <w:rFonts w:ascii="Century Gothic" w:hAnsi="Century Gothic"/>
                <w:sz w:val="22"/>
                <w:szCs w:val="22"/>
              </w:rPr>
            </w:pPr>
          </w:p>
          <w:p w:rsidR="00A550C7">
            <w:pPr>
              <w:pStyle w:val="Default"/>
              <w:rPr>
                <w:rFonts w:ascii="Century Gothic" w:hAnsi="Century Gothic"/>
                <w:sz w:val="22"/>
                <w:szCs w:val="22"/>
              </w:rPr>
            </w:pPr>
          </w:p>
          <w:p w:rsidR="00A550C7">
            <w:pPr>
              <w:pStyle w:val="Default"/>
              <w:rPr>
                <w:rFonts w:ascii="Century Gothic" w:hAnsi="Century Gothic"/>
                <w:sz w:val="22"/>
                <w:szCs w:val="22"/>
              </w:rPr>
            </w:pPr>
            <w:r>
              <w:rPr>
                <w:rFonts w:ascii="Century Gothic" w:hAnsi="Century Gothic"/>
                <w:sz w:val="22"/>
                <w:szCs w:val="22"/>
              </w:rPr>
              <w:t>Lower is Better</w:t>
            </w:r>
          </w:p>
        </w:tc>
        <w:tc>
          <w:tcPr>
            <w:tcW w:w="1508" w:type="dxa"/>
          </w:tcPr>
          <w:p w:rsidR="00CC6F03">
            <w:pPr>
              <w:pStyle w:val="Default"/>
              <w:rPr>
                <w:rFonts w:ascii="Century Gothic" w:hAnsi="Century Gothic"/>
                <w:sz w:val="22"/>
                <w:szCs w:val="22"/>
              </w:rPr>
            </w:pPr>
            <w:r>
              <w:rPr>
                <w:rFonts w:ascii="Century Gothic" w:hAnsi="Century Gothic"/>
                <w:sz w:val="22"/>
                <w:szCs w:val="22"/>
              </w:rPr>
              <w:t>TBC</w:t>
            </w:r>
          </w:p>
        </w:tc>
      </w:tr>
      <w:tr w:rsidTr="000420D5">
        <w:tblPrEx>
          <w:tblW w:w="10348" w:type="dxa"/>
          <w:jc w:val="center"/>
          <w:tblLook w:val="04A0"/>
        </w:tblPrEx>
        <w:trPr>
          <w:jc w:val="center"/>
        </w:trPr>
        <w:tc>
          <w:tcPr>
            <w:tcW w:w="1714" w:type="dxa"/>
          </w:tcPr>
          <w:p w:rsidR="00CC6F03" w:rsidRPr="000458CA" w:rsidP="00A80FAF">
            <w:pPr>
              <w:autoSpaceDE w:val="0"/>
              <w:autoSpaceDN w:val="0"/>
              <w:adjustRightInd w:val="0"/>
              <w:rPr>
                <w:rFonts w:ascii="Century Gothic" w:hAnsi="Century Gothic" w:cs="ArialMT"/>
                <w:b/>
              </w:rPr>
            </w:pPr>
            <w:r>
              <w:rPr>
                <w:rFonts w:ascii="Century Gothic" w:hAnsi="Century Gothic" w:cs="ArialMT"/>
                <w:b/>
              </w:rPr>
              <w:t>IDOX Mobile Applications</w:t>
            </w:r>
          </w:p>
          <w:p w:rsidR="00CC6F03">
            <w:pPr>
              <w:pStyle w:val="Default"/>
              <w:rPr>
                <w:rFonts w:ascii="Century Gothic" w:hAnsi="Century Gothic"/>
                <w:bCs/>
                <w:sz w:val="22"/>
                <w:szCs w:val="22"/>
              </w:rPr>
            </w:pPr>
          </w:p>
        </w:tc>
        <w:tc>
          <w:tcPr>
            <w:tcW w:w="2789" w:type="dxa"/>
          </w:tcPr>
          <w:p w:rsidR="00CC6F03" w:rsidP="00A80FAF">
            <w:pPr>
              <w:pStyle w:val="Default"/>
              <w:numPr>
                <w:ilvl w:val="0"/>
                <w:numId w:val="29"/>
              </w:numPr>
              <w:rPr>
                <w:rFonts w:ascii="Century Gothic" w:hAnsi="Century Gothic"/>
                <w:sz w:val="22"/>
                <w:szCs w:val="22"/>
              </w:rPr>
            </w:pPr>
            <w:r>
              <w:rPr>
                <w:rFonts w:ascii="Century Gothic" w:hAnsi="Century Gothic"/>
                <w:sz w:val="22"/>
                <w:szCs w:val="22"/>
              </w:rPr>
              <w:t>Number of inspections / site visits undertaken</w:t>
            </w:r>
          </w:p>
          <w:p w:rsidR="00CC6F03" w:rsidP="00A80FAF">
            <w:pPr>
              <w:pStyle w:val="Default"/>
              <w:numPr>
                <w:ilvl w:val="0"/>
                <w:numId w:val="29"/>
              </w:numPr>
              <w:rPr>
                <w:rFonts w:ascii="Century Gothic" w:hAnsi="Century Gothic"/>
                <w:sz w:val="22"/>
                <w:szCs w:val="22"/>
              </w:rPr>
            </w:pPr>
            <w:r>
              <w:rPr>
                <w:rFonts w:ascii="Century Gothic" w:hAnsi="Century Gothic"/>
                <w:sz w:val="22"/>
                <w:szCs w:val="22"/>
              </w:rPr>
              <w:t>Number of agile working enabled officers</w:t>
            </w:r>
          </w:p>
        </w:tc>
        <w:tc>
          <w:tcPr>
            <w:tcW w:w="1702" w:type="dxa"/>
          </w:tcPr>
          <w:p w:rsidR="00CC6F03">
            <w:pPr>
              <w:pStyle w:val="Default"/>
              <w:rPr>
                <w:rFonts w:ascii="Century Gothic" w:hAnsi="Century Gothic"/>
                <w:sz w:val="22"/>
                <w:szCs w:val="22"/>
              </w:rPr>
            </w:pPr>
            <w:r>
              <w:rPr>
                <w:rFonts w:ascii="Century Gothic" w:hAnsi="Century Gothic"/>
                <w:sz w:val="22"/>
                <w:szCs w:val="22"/>
              </w:rPr>
              <w:t>IDOX Enterprise Dashboard</w:t>
            </w:r>
          </w:p>
          <w:p w:rsidR="00A550C7">
            <w:pPr>
              <w:pStyle w:val="Default"/>
              <w:rPr>
                <w:rFonts w:ascii="Century Gothic" w:hAnsi="Century Gothic"/>
                <w:sz w:val="22"/>
                <w:szCs w:val="22"/>
              </w:rPr>
            </w:pPr>
            <w:r>
              <w:rPr>
                <w:rFonts w:ascii="Century Gothic" w:hAnsi="Century Gothic"/>
                <w:sz w:val="22"/>
                <w:szCs w:val="22"/>
              </w:rPr>
              <w:t>ICT Inventory &amp; Mobile Device Management</w:t>
            </w:r>
          </w:p>
        </w:tc>
        <w:tc>
          <w:tcPr>
            <w:tcW w:w="1195" w:type="dxa"/>
          </w:tcPr>
          <w:p w:rsidR="00CC6F03">
            <w:pPr>
              <w:pStyle w:val="Default"/>
              <w:rPr>
                <w:rFonts w:ascii="Century Gothic" w:hAnsi="Century Gothic"/>
                <w:sz w:val="22"/>
                <w:szCs w:val="22"/>
              </w:rPr>
            </w:pPr>
            <w:r>
              <w:rPr>
                <w:rFonts w:ascii="Century Gothic" w:hAnsi="Century Gothic"/>
                <w:sz w:val="22"/>
                <w:szCs w:val="22"/>
              </w:rPr>
              <w:t>TBC</w:t>
            </w:r>
          </w:p>
        </w:tc>
        <w:tc>
          <w:tcPr>
            <w:tcW w:w="1440" w:type="dxa"/>
          </w:tcPr>
          <w:p w:rsidR="00CC6F03">
            <w:pPr>
              <w:pStyle w:val="Default"/>
              <w:rPr>
                <w:rFonts w:ascii="Century Gothic" w:hAnsi="Century Gothic"/>
                <w:sz w:val="22"/>
                <w:szCs w:val="22"/>
              </w:rPr>
            </w:pPr>
            <w:r>
              <w:rPr>
                <w:rFonts w:ascii="Century Gothic" w:hAnsi="Century Gothic"/>
                <w:sz w:val="22"/>
                <w:szCs w:val="22"/>
              </w:rPr>
              <w:t>Higher is Better</w:t>
            </w:r>
          </w:p>
          <w:p w:rsidR="00A550C7">
            <w:pPr>
              <w:pStyle w:val="Default"/>
              <w:rPr>
                <w:rFonts w:ascii="Century Gothic" w:hAnsi="Century Gothic"/>
                <w:sz w:val="22"/>
                <w:szCs w:val="22"/>
              </w:rPr>
            </w:pPr>
          </w:p>
          <w:p w:rsidR="00A550C7">
            <w:pPr>
              <w:pStyle w:val="Default"/>
              <w:rPr>
                <w:rFonts w:ascii="Century Gothic" w:hAnsi="Century Gothic"/>
                <w:sz w:val="22"/>
                <w:szCs w:val="22"/>
              </w:rPr>
            </w:pPr>
          </w:p>
          <w:p w:rsidR="00A550C7">
            <w:pPr>
              <w:pStyle w:val="Default"/>
              <w:rPr>
                <w:rFonts w:ascii="Century Gothic" w:hAnsi="Century Gothic"/>
                <w:sz w:val="22"/>
                <w:szCs w:val="22"/>
              </w:rPr>
            </w:pPr>
          </w:p>
          <w:p w:rsidR="00A550C7">
            <w:pPr>
              <w:pStyle w:val="Default"/>
              <w:rPr>
                <w:rFonts w:ascii="Century Gothic" w:hAnsi="Century Gothic"/>
                <w:sz w:val="22"/>
                <w:szCs w:val="22"/>
              </w:rPr>
            </w:pPr>
            <w:r>
              <w:rPr>
                <w:rFonts w:ascii="Century Gothic" w:hAnsi="Century Gothic"/>
                <w:sz w:val="22"/>
                <w:szCs w:val="22"/>
              </w:rPr>
              <w:t>Higher is Better</w:t>
            </w:r>
          </w:p>
        </w:tc>
        <w:tc>
          <w:tcPr>
            <w:tcW w:w="1508" w:type="dxa"/>
          </w:tcPr>
          <w:p w:rsidR="00CC6F03">
            <w:pPr>
              <w:pStyle w:val="Default"/>
              <w:rPr>
                <w:rFonts w:ascii="Century Gothic" w:hAnsi="Century Gothic"/>
                <w:sz w:val="22"/>
                <w:szCs w:val="22"/>
              </w:rPr>
            </w:pPr>
            <w:r>
              <w:rPr>
                <w:rFonts w:ascii="Century Gothic" w:hAnsi="Century Gothic"/>
                <w:sz w:val="22"/>
                <w:szCs w:val="22"/>
              </w:rPr>
              <w:t>TBC</w:t>
            </w:r>
          </w:p>
        </w:tc>
      </w:tr>
    </w:tbl>
    <w:p w:rsidR="000420D5" w:rsidP="000420D5">
      <w:pPr>
        <w:spacing w:before="240" w:after="60"/>
        <w:outlineLvl w:val="1"/>
        <w:rPr>
          <w:rFonts w:ascii="Century Gothic" w:eastAsia="Times New Roman" w:hAnsi="Century Gothic" w:cs="Arial"/>
          <w:b/>
          <w:bCs/>
          <w:iCs/>
          <w:color w:val="auto"/>
          <w:sz w:val="32"/>
          <w:szCs w:val="20"/>
        </w:rPr>
      </w:pPr>
      <w:bookmarkEnd w:id="1"/>
      <w:bookmarkEnd w:id="2"/>
      <w:bookmarkEnd w:id="3"/>
      <w:bookmarkEnd w:id="4"/>
      <w:bookmarkEnd w:id="5"/>
      <w:r>
        <w:rPr>
          <w:rFonts w:ascii="Century Gothic" w:eastAsia="Times New Roman" w:hAnsi="Century Gothic" w:cs="Arial"/>
          <w:b/>
          <w:bCs/>
          <w:iCs/>
          <w:color w:val="auto"/>
          <w:sz w:val="32"/>
          <w:szCs w:val="20"/>
        </w:rPr>
        <w:t>Stakeholders and Communications Management</w:t>
      </w:r>
    </w:p>
    <w:p w:rsidR="000420D5" w:rsidRPr="004B14E5" w:rsidP="000420D5">
      <w:pPr>
        <w:spacing w:before="240" w:after="60"/>
        <w:outlineLvl w:val="1"/>
        <w:rPr>
          <w:rFonts w:ascii="Century Gothic" w:eastAsia="Times New Roman" w:hAnsi="Century Gothic" w:cs="Arial"/>
          <w:bCs/>
          <w:iCs/>
          <w:color w:val="auto"/>
        </w:rPr>
      </w:pPr>
      <w:r w:rsidRPr="004B14E5">
        <w:rPr>
          <w:rFonts w:ascii="Century Gothic" w:eastAsia="Times New Roman" w:hAnsi="Century Gothic" w:cs="Arial"/>
          <w:bCs/>
          <w:iCs/>
          <w:color w:val="auto"/>
        </w:rPr>
        <w:t xml:space="preserve">The below high level stakeholder groups have been identified, the Project Team will commit to working with these stakeholder groups and </w:t>
      </w:r>
      <w:r>
        <w:rPr>
          <w:rFonts w:ascii="Century Gothic" w:eastAsia="Times New Roman" w:hAnsi="Century Gothic" w:cs="Arial"/>
          <w:bCs/>
          <w:iCs/>
          <w:color w:val="auto"/>
        </w:rPr>
        <w:t>provide regular updates as the project progresses:</w:t>
      </w:r>
    </w:p>
    <w:p w:rsidR="000420D5" w:rsidRPr="004B14E5" w:rsidP="000420D5">
      <w:pPr>
        <w:spacing w:after="60"/>
        <w:outlineLvl w:val="1"/>
        <w:rPr>
          <w:rFonts w:ascii="Century Gothic" w:eastAsia="Times New Roman" w:hAnsi="Century Gothic" w:cs="Arial"/>
          <w:bCs/>
          <w:iCs/>
          <w:color w:val="auto"/>
        </w:rPr>
      </w:pPr>
    </w:p>
    <w:p w:rsidR="000420D5" w:rsidRPr="004B14E5" w:rsidP="000420D5">
      <w:pPr>
        <w:pStyle w:val="ListParagraph"/>
        <w:numPr>
          <w:ilvl w:val="0"/>
          <w:numId w:val="18"/>
        </w:numPr>
        <w:spacing w:after="60"/>
        <w:outlineLvl w:val="1"/>
        <w:rPr>
          <w:rFonts w:ascii="Century Gothic" w:eastAsia="Times New Roman" w:hAnsi="Century Gothic" w:cs="Arial"/>
          <w:b/>
          <w:bCs/>
          <w:iCs/>
          <w:color w:val="auto"/>
        </w:rPr>
      </w:pPr>
      <w:r w:rsidRPr="004B14E5">
        <w:rPr>
          <w:rFonts w:ascii="Century Gothic" w:eastAsia="Times New Roman" w:hAnsi="Century Gothic" w:cs="Arial"/>
          <w:b/>
          <w:bCs/>
          <w:iCs/>
          <w:color w:val="auto"/>
        </w:rPr>
        <w:t xml:space="preserve">Colleagues – </w:t>
      </w:r>
      <w:r w:rsidRPr="004B14E5">
        <w:rPr>
          <w:rFonts w:ascii="Century Gothic" w:eastAsia="Times New Roman" w:hAnsi="Century Gothic" w:cs="Arial"/>
          <w:bCs/>
          <w:iCs/>
          <w:color w:val="auto"/>
        </w:rPr>
        <w:t>Involving them in process mapping, training them and ensuring they get the best out of the computer system</w:t>
      </w:r>
    </w:p>
    <w:p w:rsidR="000420D5" w:rsidRPr="004B14E5" w:rsidP="000420D5">
      <w:pPr>
        <w:pStyle w:val="ListParagraph"/>
        <w:spacing w:after="60"/>
        <w:outlineLvl w:val="1"/>
        <w:rPr>
          <w:rFonts w:ascii="Century Gothic" w:eastAsia="Times New Roman" w:hAnsi="Century Gothic" w:cs="Arial"/>
          <w:b/>
          <w:bCs/>
          <w:iCs/>
          <w:color w:val="auto"/>
        </w:rPr>
      </w:pPr>
    </w:p>
    <w:p w:rsidR="000420D5" w:rsidRPr="004B14E5" w:rsidP="000420D5">
      <w:pPr>
        <w:pStyle w:val="ListParagraph"/>
        <w:numPr>
          <w:ilvl w:val="0"/>
          <w:numId w:val="18"/>
        </w:numPr>
        <w:spacing w:after="60"/>
        <w:outlineLvl w:val="1"/>
        <w:rPr>
          <w:rFonts w:ascii="Century Gothic" w:eastAsia="Times New Roman" w:hAnsi="Century Gothic" w:cs="Arial"/>
          <w:b/>
          <w:bCs/>
          <w:iCs/>
          <w:color w:val="auto"/>
        </w:rPr>
      </w:pPr>
      <w:r w:rsidRPr="004B14E5">
        <w:rPr>
          <w:rFonts w:ascii="Century Gothic" w:eastAsia="Times New Roman" w:hAnsi="Century Gothic" w:cs="Arial"/>
          <w:b/>
          <w:bCs/>
          <w:iCs/>
          <w:color w:val="auto"/>
        </w:rPr>
        <w:t xml:space="preserve">Members / Residents – </w:t>
      </w:r>
      <w:r w:rsidRPr="004B14E5">
        <w:rPr>
          <w:rFonts w:ascii="Century Gothic" w:eastAsia="Times New Roman" w:hAnsi="Century Gothic" w:cs="Arial"/>
          <w:bCs/>
          <w:iCs/>
          <w:color w:val="auto"/>
        </w:rPr>
        <w:t>Provide consistency in the way Planning and Licensing data is accessed and consolidate the number of logins required to access data online</w:t>
      </w:r>
    </w:p>
    <w:p w:rsidR="000420D5" w:rsidRPr="004B14E5" w:rsidP="000420D5">
      <w:pPr>
        <w:pStyle w:val="ListParagraph"/>
        <w:spacing w:after="60"/>
        <w:outlineLvl w:val="1"/>
        <w:rPr>
          <w:rFonts w:ascii="Century Gothic" w:eastAsia="Times New Roman" w:hAnsi="Century Gothic" w:cs="Arial"/>
          <w:b/>
          <w:bCs/>
          <w:iCs/>
          <w:color w:val="auto"/>
        </w:rPr>
      </w:pPr>
    </w:p>
    <w:p w:rsidR="000420D5" w:rsidRPr="00566D0F" w:rsidP="000420D5">
      <w:pPr>
        <w:pStyle w:val="ListParagraph"/>
        <w:numPr>
          <w:ilvl w:val="0"/>
          <w:numId w:val="18"/>
        </w:numPr>
        <w:spacing w:after="60"/>
        <w:outlineLvl w:val="1"/>
        <w:rPr>
          <w:rFonts w:ascii="Century Gothic" w:eastAsia="Times New Roman" w:hAnsi="Century Gothic" w:cs="Arial"/>
          <w:b/>
          <w:bCs/>
          <w:iCs/>
          <w:color w:val="auto"/>
        </w:rPr>
      </w:pPr>
      <w:r w:rsidRPr="004B14E5">
        <w:rPr>
          <w:rFonts w:ascii="Century Gothic" w:eastAsia="Times New Roman" w:hAnsi="Century Gothic" w:cs="Arial"/>
          <w:b/>
          <w:bCs/>
          <w:iCs/>
          <w:color w:val="auto"/>
        </w:rPr>
        <w:t xml:space="preserve">Partners / Suppliers – </w:t>
      </w:r>
      <w:r w:rsidRPr="004B14E5">
        <w:rPr>
          <w:rFonts w:ascii="Century Gothic" w:eastAsia="Times New Roman" w:hAnsi="Century Gothic" w:cs="Arial"/>
          <w:bCs/>
          <w:iCs/>
          <w:color w:val="auto"/>
        </w:rPr>
        <w:t>The Project Team will work with suppliers to implement the project.</w:t>
      </w:r>
    </w:p>
    <w:p w:rsidR="000420D5" w:rsidRPr="000420D5" w:rsidP="000420D5">
      <w:pPr>
        <w:keepNext/>
        <w:spacing w:before="240" w:after="60"/>
        <w:outlineLvl w:val="1"/>
        <w:rPr>
          <w:rFonts w:ascii="Century Gothic" w:hAnsi="Century Gothic" w:cs="Arial"/>
          <w:b/>
          <w:bCs/>
          <w:iCs/>
          <w:sz w:val="32"/>
        </w:rPr>
      </w:pPr>
      <w:r w:rsidRPr="000420D5">
        <w:rPr>
          <w:rFonts w:ascii="Century Gothic" w:hAnsi="Century Gothic" w:cs="Arial"/>
          <w:b/>
          <w:bCs/>
          <w:iCs/>
          <w:sz w:val="32"/>
        </w:rPr>
        <w:t>Project Governance, Project Team and communications management</w:t>
      </w:r>
    </w:p>
    <w:p w:rsidR="000420D5" w:rsidRPr="009D122A" w:rsidP="000420D5">
      <w:pPr>
        <w:keepNext/>
        <w:spacing w:before="240" w:after="60"/>
        <w:outlineLvl w:val="1"/>
        <w:rPr>
          <w:rFonts w:ascii="Century Gothic" w:hAnsi="Century Gothic" w:cs="Arial"/>
          <w:bCs/>
          <w:iCs/>
        </w:rPr>
      </w:pPr>
      <w:r>
        <w:rPr>
          <w:rFonts w:ascii="Century Gothic" w:hAnsi="Century Gothic" w:cs="Arial"/>
          <w:bCs/>
          <w:iCs/>
        </w:rPr>
        <w:t>Initially, the below roles have been assigned prospective officers which are subject to change and approval:</w:t>
      </w:r>
    </w:p>
    <w:p w:rsidR="000420D5" w:rsidP="000420D5">
      <w:pPr>
        <w:keepNext/>
        <w:spacing w:before="240" w:after="60"/>
        <w:outlineLvl w:val="1"/>
        <w:rPr>
          <w:rFonts w:ascii="Century Gothic" w:hAnsi="Century Gothic" w:cs="Arial"/>
          <w:bCs/>
          <w:iCs/>
        </w:rPr>
      </w:pPr>
      <w:r>
        <w:rPr>
          <w:rFonts w:ascii="Century Gothic" w:hAnsi="Century Gothic" w:cs="Arial"/>
          <w:b/>
          <w:bCs/>
          <w:iCs/>
        </w:rPr>
        <w:t xml:space="preserve">SRO: </w:t>
      </w:r>
      <w:r>
        <w:rPr>
          <w:rFonts w:ascii="Century Gothic" w:hAnsi="Century Gothic" w:cs="Arial"/>
          <w:bCs/>
          <w:iCs/>
        </w:rPr>
        <w:t>Paul Hussey</w:t>
      </w:r>
    </w:p>
    <w:p w:rsidR="000420D5" w:rsidP="000420D5">
      <w:pPr>
        <w:keepNext/>
        <w:spacing w:before="240" w:after="60"/>
        <w:outlineLvl w:val="1"/>
        <w:rPr>
          <w:rFonts w:ascii="Century Gothic" w:hAnsi="Century Gothic" w:cs="Arial"/>
          <w:bCs/>
          <w:iCs/>
        </w:rPr>
      </w:pPr>
      <w:r>
        <w:rPr>
          <w:rFonts w:ascii="Century Gothic" w:hAnsi="Century Gothic" w:cs="Arial"/>
          <w:b/>
          <w:bCs/>
          <w:iCs/>
        </w:rPr>
        <w:t xml:space="preserve">Project/Project Lead: </w:t>
      </w:r>
      <w:r>
        <w:rPr>
          <w:rFonts w:ascii="Century Gothic" w:hAnsi="Century Gothic" w:cs="Arial"/>
          <w:bCs/>
          <w:iCs/>
        </w:rPr>
        <w:t>IDOX Project Co-Ordinator / System Supervisor</w:t>
      </w:r>
    </w:p>
    <w:p w:rsidR="000420D5" w:rsidP="000420D5">
      <w:pPr>
        <w:keepNext/>
        <w:spacing w:before="240" w:after="60"/>
        <w:outlineLvl w:val="1"/>
        <w:rPr>
          <w:rFonts w:ascii="Century Gothic" w:hAnsi="Century Gothic" w:cs="Arial"/>
          <w:bCs/>
          <w:iCs/>
        </w:rPr>
      </w:pPr>
      <w:r>
        <w:rPr>
          <w:rFonts w:ascii="Century Gothic" w:hAnsi="Century Gothic" w:cs="Arial"/>
          <w:b/>
          <w:bCs/>
          <w:iCs/>
        </w:rPr>
        <w:t xml:space="preserve">Technical Lead: </w:t>
      </w:r>
      <w:r>
        <w:rPr>
          <w:rFonts w:ascii="Century Gothic" w:hAnsi="Century Gothic" w:cs="Arial"/>
          <w:bCs/>
          <w:iCs/>
        </w:rPr>
        <w:t>Charlie Doherty, Sarah M</w:t>
      </w:r>
      <w:r w:rsidR="003D1965">
        <w:rPr>
          <w:rFonts w:ascii="Century Gothic" w:hAnsi="Century Gothic" w:cs="Arial"/>
          <w:bCs/>
          <w:iCs/>
        </w:rPr>
        <w:t>a</w:t>
      </w:r>
      <w:r>
        <w:rPr>
          <w:rFonts w:ascii="Century Gothic" w:hAnsi="Century Gothic" w:cs="Arial"/>
          <w:bCs/>
          <w:iCs/>
        </w:rPr>
        <w:t>sterson</w:t>
      </w:r>
    </w:p>
    <w:p w:rsidR="000420D5" w:rsidP="000420D5">
      <w:pPr>
        <w:keepNext/>
        <w:outlineLvl w:val="1"/>
        <w:rPr>
          <w:rFonts w:ascii="Century Gothic" w:hAnsi="Century Gothic" w:cs="Arial"/>
          <w:bCs/>
          <w:iCs/>
        </w:rPr>
      </w:pPr>
    </w:p>
    <w:p w:rsidR="000420D5" w:rsidRPr="000420D5" w:rsidP="000420D5">
      <w:pPr>
        <w:autoSpaceDE w:val="0"/>
        <w:autoSpaceDN w:val="0"/>
        <w:adjustRightInd w:val="0"/>
        <w:rPr>
          <w:rFonts w:ascii="Century Gothic" w:hAnsi="Century Gothic" w:cs="Arial"/>
          <w:bCs/>
          <w:iCs/>
        </w:rPr>
      </w:pPr>
      <w:r>
        <w:rPr>
          <w:rFonts w:ascii="Century Gothic" w:hAnsi="Century Gothic" w:cs="Arial"/>
          <w:b/>
          <w:bCs/>
          <w:iCs/>
        </w:rPr>
        <w:t>Suggested Project Members:</w:t>
      </w:r>
      <w:r>
        <w:rPr>
          <w:rFonts w:ascii="Century Gothic" w:hAnsi="Century Gothic" w:cs="Arial"/>
          <w:bCs/>
          <w:iCs/>
        </w:rPr>
        <w:t xml:space="preserve"> Sarah Kitchener, Lianne Mason, Sarah Masterson, Shannon Hill, Jade Dilworth, Stephanie Fairbrother, Kim Lamper, Steven Smith, Angie Johnson, Kevin Conway, Gail </w:t>
      </w:r>
      <w:r w:rsidRPr="000420D5">
        <w:rPr>
          <w:rFonts w:ascii="Century Gothic" w:hAnsi="Century Gothic" w:cs="Arial"/>
          <w:bCs/>
          <w:iCs/>
        </w:rPr>
        <w:t>Collins</w:t>
      </w:r>
    </w:p>
    <w:p w:rsidR="000420D5" w:rsidRPr="000420D5" w:rsidP="000420D5">
      <w:pPr>
        <w:spacing w:before="240" w:after="60"/>
        <w:jc w:val="both"/>
        <w:outlineLvl w:val="1"/>
        <w:rPr>
          <w:rFonts w:ascii="Century Gothic" w:eastAsia="Calibri" w:hAnsi="Century Gothic" w:cs="Arial"/>
          <w:color w:val="auto"/>
        </w:rPr>
      </w:pPr>
      <w:r w:rsidRPr="000420D5">
        <w:rPr>
          <w:rFonts w:ascii="Century Gothic" w:eastAsia="Calibri" w:hAnsi="Century Gothic" w:cs="Arial"/>
          <w:color w:val="auto"/>
        </w:rPr>
        <w:t xml:space="preserve">In line with the Digital to Improve Programme the SRO responsibility will fall under the Director of Customer and Digital. Due to the intensive project management requirements necessary to deliver this project, it is proposed that a new post is created to act as project manager and provide system supervisor duties once the project has been completed and benefits realised. The newly created role will be funded from the Neighbourhoods and Development and/or Planning and Property directorates and will consolidate the system supervisor responsibility from each service area using Uniform into this role. It should be noted that the Environmental Health System Supervisor role is currently vacant and will be replaced by the newly created role. Due to the current lack of capacity for IDOX system development, support and training, this role is required regardless of whether the IDOX Enterprise and Capability Review is undertaken. </w:t>
      </w:r>
    </w:p>
    <w:p w:rsidR="000420D5" w:rsidRPr="000420D5" w:rsidP="000420D5">
      <w:pPr>
        <w:spacing w:before="240" w:after="60"/>
        <w:outlineLvl w:val="1"/>
        <w:rPr>
          <w:rFonts w:ascii="Century Gothic" w:hAnsi="Century Gothic" w:cs="Arial"/>
          <w:bCs/>
          <w:iCs/>
          <w:color w:val="auto"/>
        </w:rPr>
      </w:pPr>
      <w:r w:rsidRPr="000420D5">
        <w:rPr>
          <w:rFonts w:ascii="Century Gothic" w:hAnsi="Century Gothic" w:cs="Arial"/>
          <w:bCs/>
          <w:iCs/>
          <w:color w:val="auto"/>
        </w:rPr>
        <w:t xml:space="preserve">The new post which has been proposed will include amongst other duties the delivery of this project in line with the agreed scope. Upon project completion and realisation of the anticipated benefits the newly created role will act as a system supervisor to provide continuous improvement in processes. A draft job description has been developed for this role and will be funded from within the Neighbourhoods and Development or Planning and Property directorates from existing budgets. Upon approval of the creation of this post HR will be requested to undertake an evaluation of the proposed job description and person specification to dictate the required grade for this role. </w:t>
      </w:r>
    </w:p>
    <w:p w:rsidR="000420D5" w:rsidRPr="000420D5" w:rsidP="000420D5">
      <w:pPr>
        <w:spacing w:before="240" w:after="60"/>
        <w:outlineLvl w:val="1"/>
        <w:rPr>
          <w:rFonts w:ascii="Century Gothic" w:hAnsi="Century Gothic" w:cs="Arial"/>
          <w:bCs/>
          <w:iCs/>
          <w:color w:val="auto"/>
        </w:rPr>
      </w:pPr>
      <w:r w:rsidRPr="000420D5">
        <w:rPr>
          <w:rFonts w:ascii="Century Gothic" w:hAnsi="Century Gothic" w:cs="Arial"/>
          <w:bCs/>
          <w:iCs/>
          <w:color w:val="auto"/>
        </w:rPr>
        <w:t>A ‘Train the Trainer’ approach will be taken to ensure that all officers are trained on any new software or functionality regardless of whether they are available for initial training.</w:t>
      </w:r>
    </w:p>
    <w:p w:rsidR="000420D5" w:rsidRPr="000420D5" w:rsidP="000420D5">
      <w:pPr>
        <w:spacing w:before="240" w:after="60"/>
        <w:outlineLvl w:val="1"/>
        <w:rPr>
          <w:rFonts w:ascii="Century Gothic" w:hAnsi="Century Gothic" w:cs="Arial"/>
          <w:bCs/>
          <w:iCs/>
          <w:color w:val="auto"/>
        </w:rPr>
      </w:pPr>
      <w:r w:rsidRPr="000420D5">
        <w:rPr>
          <w:rFonts w:ascii="Century Gothic" w:hAnsi="Century Gothic" w:cs="Arial"/>
          <w:bCs/>
          <w:iCs/>
          <w:color w:val="auto"/>
        </w:rPr>
        <w:t xml:space="preserve">The project will be managed in line with the councils Project Management Framework and all milestones and objectives will be monitored and reported on using the </w:t>
      </w:r>
      <w:r w:rsidRPr="000420D5">
        <w:rPr>
          <w:rFonts w:ascii="Century Gothic" w:hAnsi="Century Gothic" w:cs="Arial"/>
          <w:bCs/>
          <w:iCs/>
          <w:color w:val="auto"/>
        </w:rPr>
        <w:t>InPhase</w:t>
      </w:r>
      <w:r w:rsidRPr="000420D5">
        <w:rPr>
          <w:rFonts w:ascii="Century Gothic" w:hAnsi="Century Gothic" w:cs="Arial"/>
          <w:bCs/>
          <w:iCs/>
          <w:color w:val="auto"/>
        </w:rPr>
        <w:t xml:space="preserve"> project management system. A series of exception criteria will be developed with the SRO in terms of time and costs to aid in the reporting process. Monthly highlight reports will also be provided to the SRO with progress regularly reported at Programme Board. </w:t>
      </w:r>
    </w:p>
    <w:p w:rsidR="00F14060" w:rsidRPr="0025166A" w:rsidP="0025166A">
      <w:pPr>
        <w:spacing w:before="240" w:after="60"/>
        <w:outlineLvl w:val="1"/>
        <w:rPr>
          <w:rFonts w:ascii="Century Gothic" w:hAnsi="Century Gothic" w:cs="Arial"/>
          <w:bCs/>
          <w:iCs/>
          <w:color w:val="auto"/>
        </w:rPr>
      </w:pPr>
      <w:r w:rsidRPr="000420D5">
        <w:rPr>
          <w:rFonts w:ascii="Century Gothic" w:hAnsi="Century Gothic" w:cs="Arial"/>
          <w:bCs/>
          <w:iCs/>
          <w:color w:val="auto"/>
        </w:rPr>
        <w:t>Similarly the associated risks will be entered into InPhase following the Risk Management Framework adopted by the council.</w:t>
      </w:r>
    </w:p>
    <w:sectPr>
      <w:headerReference w:type="default" r:id="rId13"/>
      <w:footerReference w:type="even" r:id="rId14"/>
      <w:footerReference w:type="default" r:id="rId15"/>
      <w:footerReference w:type="first" r:id="rId16"/>
      <w:pgSz w:w="11906" w:h="16838"/>
      <w:pgMar w:top="1134" w:right="1134" w:bottom="1134" w:left="1134" w:header="850" w:footer="85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53554797"/>
      <w:docPartObj>
        <w:docPartGallery w:val="Page Numbers (Bottom of Page)"/>
        <w:docPartUnique/>
      </w:docPartObj>
    </w:sdtPr>
    <w:sdtEndPr>
      <w:rPr>
        <w:color w:val="7F7F7F" w:themeColor="background1" w:themeShade="7F"/>
        <w:spacing w:val="60"/>
      </w:rPr>
    </w:sdtEndPr>
    <w:sdtContent>
      <w:p w:rsidR="00C46A2A">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50E4">
          <w:rPr>
            <w:noProof/>
          </w:rPr>
          <w:t>1</w:t>
        </w:r>
        <w:r>
          <w:rPr>
            <w:noProof/>
          </w:rPr>
          <w:fldChar w:fldCharType="end"/>
        </w:r>
        <w:r>
          <w:t xml:space="preserve"> | </w:t>
        </w:r>
        <w:r>
          <w:rPr>
            <w:color w:val="7F7F7F" w:themeColor="background1" w:themeShade="7F"/>
            <w:spacing w:val="60"/>
          </w:rPr>
          <w:t>Page</w:t>
        </w:r>
      </w:p>
    </w:sdtContent>
  </w:sdt>
  <w:p w:rsidR="00C46A2A">
    <w:pPr>
      <w:pStyle w:val="Footer"/>
      <w:ind w:left="-1985"/>
      <w:rPr>
        <w:rFonts w:ascii="Century Gothic" w:hAnsi="Century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6A2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9675967"/>
      <w:docPartObj>
        <w:docPartGallery w:val="Page Numbers (Bottom of Page)"/>
        <w:docPartUnique/>
      </w:docPartObj>
    </w:sdtPr>
    <w:sdtEndPr>
      <w:rPr>
        <w:color w:val="7F7F7F" w:themeColor="background1" w:themeShade="7F"/>
        <w:spacing w:val="60"/>
      </w:rPr>
    </w:sdtEndPr>
    <w:sdtContent>
      <w:p w:rsidR="00C46A2A">
        <w:pPr>
          <w:pStyle w:val="Footer"/>
          <w:pBdr>
            <w:top w:val="single" w:sz="4" w:space="1" w:color="D9D9D9" w:themeColor="background1" w:themeShade="D9"/>
          </w:pBdr>
          <w:jc w:val="right"/>
        </w:pPr>
        <w:r>
          <w:t xml:space="preserve">3 | </w:t>
        </w:r>
        <w:r>
          <w:rPr>
            <w:color w:val="7F7F7F" w:themeColor="background1" w:themeShade="7F"/>
            <w:spacing w:val="60"/>
          </w:rPr>
          <w:t>Page</w:t>
        </w:r>
      </w:p>
    </w:sdtContent>
  </w:sdt>
  <w:p w:rsidR="00C46A2A">
    <w:pPr>
      <w:pStyle w:val="Footer"/>
      <w:pBdr>
        <w:top w:val="single" w:sz="8" w:space="1" w:color="auto"/>
      </w:pBdr>
      <w:tabs>
        <w:tab w:val="center" w:pos="4962"/>
        <w:tab w:val="right" w:pos="9639"/>
      </w:tabs>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46401668"/>
      <w:docPartObj>
        <w:docPartGallery w:val="Page Numbers (Bottom of Page)"/>
        <w:docPartUnique/>
      </w:docPartObj>
    </w:sdtPr>
    <w:sdtEndPr>
      <w:rPr>
        <w:color w:val="7F7F7F" w:themeColor="background1" w:themeShade="7F"/>
        <w:spacing w:val="60"/>
      </w:rPr>
    </w:sdtEndPr>
    <w:sdtContent>
      <w:p w:rsidR="00C46A2A">
        <w:pPr>
          <w:pStyle w:val="Footer"/>
          <w:pBdr>
            <w:top w:val="single" w:sz="4" w:space="1" w:color="D9D9D9" w:themeColor="background1" w:themeShade="D9"/>
          </w:pBdr>
          <w:jc w:val="right"/>
        </w:pPr>
        <w:r>
          <w:t xml:space="preserve">2 | </w:t>
        </w:r>
        <w:r>
          <w:rPr>
            <w:color w:val="7F7F7F" w:themeColor="background1" w:themeShade="7F"/>
            <w:spacing w:val="60"/>
          </w:rPr>
          <w:t>Page</w:t>
        </w:r>
      </w:p>
    </w:sdtContent>
  </w:sdt>
  <w:p w:rsidR="00C46A2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A2A">
    <w:pPr>
      <w:pStyle w:val="Header"/>
      <w:jc w:val="right"/>
    </w:pPr>
    <w:r>
      <w:rPr>
        <w:noProof/>
        <w:lang w:eastAsia="en-GB"/>
      </w:rPr>
      <w:drawing>
        <wp:inline distT="0" distB="0" distL="0" distR="0">
          <wp:extent cx="1571625" cy="1402080"/>
          <wp:effectExtent l="0" t="0" r="9525" b="7620"/>
          <wp:docPr id="2" name="Picture 2"/>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571625" cy="140208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A2A">
    <w:pPr>
      <w:pStyle w:val="Header"/>
      <w:pBdr>
        <w:bottom w:val="single" w:sz="6" w:space="1" w:color="auto"/>
      </w:pBdr>
    </w:pPr>
  </w:p>
  <w:p w:rsidR="00C46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780CA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48E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941D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C003E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0AE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6AC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401C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64E0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A8C1E6"/>
    <w:lvl w:ilvl="0">
      <w:start w:val="1"/>
      <w:numFmt w:val="decimal"/>
      <w:pStyle w:val="ListNumber"/>
      <w:lvlText w:val="%1."/>
      <w:lvlJc w:val="left"/>
      <w:pPr>
        <w:tabs>
          <w:tab w:val="num" w:pos="360"/>
        </w:tabs>
        <w:ind w:left="360" w:hanging="360"/>
      </w:pPr>
    </w:lvl>
  </w:abstractNum>
  <w:abstractNum w:abstractNumId="9">
    <w:nsid w:val="0E4E692A"/>
    <w:multiLevelType w:val="hybridMultilevel"/>
    <w:tmpl w:val="92A666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A306B00"/>
    <w:multiLevelType w:val="hybridMultilevel"/>
    <w:tmpl w:val="59E2C7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1E17D71"/>
    <w:multiLevelType w:val="multilevel"/>
    <w:tmpl w:val="21285BCE"/>
    <w:styleLink w:val="RBCBullets"/>
    <w:lvl w:ilvl="0">
      <w:start w:val="1"/>
      <w:numFmt w:val="bullet"/>
      <w:pStyle w:val="ListBullet"/>
      <w:lvlText w:val=""/>
      <w:lvlJc w:val="left"/>
      <w:pPr>
        <w:ind w:left="1083" w:hanging="363"/>
      </w:pPr>
      <w:rPr>
        <w:rFonts w:ascii="Symbol" w:hAnsi="Symbol" w:hint="default"/>
        <w:color w:val="029A83" w:themeColor="accent3"/>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2">
    <w:nsid w:val="265C62D3"/>
    <w:multiLevelType w:val="hybridMultilevel"/>
    <w:tmpl w:val="F802F5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A286DCC"/>
    <w:multiLevelType w:val="hybridMultilevel"/>
    <w:tmpl w:val="92BC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ACC1026"/>
    <w:multiLevelType w:val="hybridMultilevel"/>
    <w:tmpl w:val="54A6C88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D6002EB"/>
    <w:multiLevelType w:val="hybridMultilevel"/>
    <w:tmpl w:val="14F09A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1F95AA3"/>
    <w:multiLevelType w:val="hybridMultilevel"/>
    <w:tmpl w:val="89C829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48175E9"/>
    <w:multiLevelType w:val="multilevel"/>
    <w:tmpl w:val="21285BCE"/>
    <w:numStyleLink w:val="RBCBullet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8">
    <w:nsid w:val="3D6B0102"/>
    <w:multiLevelType w:val="hybridMultilevel"/>
    <w:tmpl w:val="8C7014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E520171"/>
    <w:multiLevelType w:val="hybridMultilevel"/>
    <w:tmpl w:val="19E236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E784EBC"/>
    <w:multiLevelType w:val="hybridMultilevel"/>
    <w:tmpl w:val="17A2F1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E8C3465"/>
    <w:multiLevelType w:val="hybridMultilevel"/>
    <w:tmpl w:val="74E035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403704D"/>
    <w:multiLevelType w:val="hybridMultilevel"/>
    <w:tmpl w:val="01B49E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CFC3696"/>
    <w:multiLevelType w:val="hybridMultilevel"/>
    <w:tmpl w:val="BFE084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ED755DA"/>
    <w:multiLevelType w:val="hybridMultilevel"/>
    <w:tmpl w:val="C2326B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8F04A4D"/>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8055A21"/>
    <w:multiLevelType w:val="hybridMultilevel"/>
    <w:tmpl w:val="1EC0ED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84447A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F642C97"/>
    <w:multiLevelType w:val="hybridMultilevel"/>
    <w:tmpl w:val="D5304B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46D3F7B"/>
    <w:multiLevelType w:val="hybridMultilevel"/>
    <w:tmpl w:val="1430C8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5EF1844"/>
    <w:multiLevelType w:val="hybridMultilevel"/>
    <w:tmpl w:val="5260A5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64209A6"/>
    <w:multiLevelType w:val="hybridMultilevel"/>
    <w:tmpl w:val="8CEA8FF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33">
    <w:nsid w:val="79B316B7"/>
    <w:multiLevelType w:val="hybridMultilevel"/>
    <w:tmpl w:val="1E5E3B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C466C8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E82305"/>
    <w:multiLevelType w:val="multilevel"/>
    <w:tmpl w:val="054C7786"/>
    <w:styleLink w:val="RBCHeading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lowerRoman"/>
      <w:lvlText w:val="%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36">
    <w:nsid w:val="7CF91D8B"/>
    <w:multiLevelType w:val="hybridMultilevel"/>
    <w:tmpl w:val="4DD671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D4A4920"/>
    <w:multiLevelType w:val="hybridMultilevel"/>
    <w:tmpl w:val="9482DC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17"/>
  </w:num>
  <w:num w:numId="4">
    <w:abstractNumId w:val="34"/>
  </w:num>
  <w:num w:numId="5">
    <w:abstractNumId w:val="27"/>
  </w:num>
  <w:num w:numId="6">
    <w:abstractNumId w:val="25"/>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13"/>
  </w:num>
  <w:num w:numId="18">
    <w:abstractNumId w:val="36"/>
  </w:num>
  <w:num w:numId="19">
    <w:abstractNumId w:val="16"/>
  </w:num>
  <w:num w:numId="20">
    <w:abstractNumId w:val="15"/>
  </w:num>
  <w:num w:numId="21">
    <w:abstractNumId w:val="26"/>
  </w:num>
  <w:num w:numId="22">
    <w:abstractNumId w:val="20"/>
  </w:num>
  <w:num w:numId="23">
    <w:abstractNumId w:val="14"/>
  </w:num>
  <w:num w:numId="24">
    <w:abstractNumId w:val="9"/>
  </w:num>
  <w:num w:numId="25">
    <w:abstractNumId w:val="33"/>
  </w:num>
  <w:num w:numId="26">
    <w:abstractNumId w:val="22"/>
  </w:num>
  <w:num w:numId="27">
    <w:abstractNumId w:val="29"/>
  </w:num>
  <w:num w:numId="28">
    <w:abstractNumId w:val="37"/>
  </w:num>
  <w:num w:numId="29">
    <w:abstractNumId w:val="10"/>
  </w:num>
  <w:num w:numId="30">
    <w:abstractNumId w:val="28"/>
  </w:num>
  <w:num w:numId="31">
    <w:abstractNumId w:val="12"/>
  </w:num>
  <w:num w:numId="32">
    <w:abstractNumId w:val="18"/>
  </w:num>
  <w:num w:numId="33">
    <w:abstractNumId w:val="21"/>
  </w:num>
  <w:num w:numId="34">
    <w:abstractNumId w:val="30"/>
  </w:num>
  <w:num w:numId="35">
    <w:abstractNumId w:val="24"/>
  </w:num>
  <w:num w:numId="36">
    <w:abstractNumId w:val="23"/>
  </w:num>
  <w:num w:numId="37">
    <w:abstractNumId w:val="1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en-GB" w:eastAsia="en-US" w:bidi="ar-SA"/>
      </w:rPr>
    </w:rPrDefault>
    <w:pPrDefault/>
  </w:docDefaults>
  <w:latentStyles w:defLockedState="0" w:defUIPriority="0" w:defSemiHidden="0" w:defUnhideWhenUsed="0" w:defQFormat="0" w:count="371">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numPr>
        <w:numId w:val="1"/>
      </w:numPr>
      <w:spacing w:after="240"/>
      <w:outlineLvl w:val="0"/>
    </w:pPr>
    <w:rPr>
      <w:rFonts w:asciiTheme="majorHAnsi" w:eastAsiaTheme="majorEastAsia" w:hAnsiTheme="majorHAnsi" w:cstheme="majorBidi"/>
      <w:b/>
      <w:bCs/>
      <w:color w:val="auto"/>
      <w:sz w:val="28"/>
      <w:szCs w:val="28"/>
    </w:rPr>
  </w:style>
  <w:style w:type="paragraph" w:styleId="Heading2">
    <w:name w:val="heading 2"/>
    <w:basedOn w:val="Normal"/>
    <w:next w:val="Normal"/>
    <w:link w:val="Heading2Char"/>
    <w:uiPriority w:val="2"/>
    <w:unhideWhenUsed/>
    <w:qFormat/>
    <w:pPr>
      <w:keepNext/>
      <w:keepLines/>
      <w:numPr>
        <w:ilvl w:val="1"/>
        <w:numId w:val="1"/>
      </w:numPr>
      <w:spacing w:after="240"/>
      <w:outlineLvl w:val="1"/>
    </w:pPr>
    <w:rPr>
      <w:rFonts w:asciiTheme="majorHAnsi" w:eastAsiaTheme="majorEastAsia" w:hAnsiTheme="majorHAnsi" w:cstheme="majorBidi"/>
      <w:b/>
      <w:bCs/>
      <w:color w:val="auto"/>
      <w:sz w:val="24"/>
      <w:szCs w:val="26"/>
    </w:rPr>
  </w:style>
  <w:style w:type="paragraph" w:styleId="Heading3">
    <w:name w:val="heading 3"/>
    <w:next w:val="Normal"/>
    <w:link w:val="Heading3Char"/>
    <w:semiHidden/>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pPr>
      <w:spacing w:before="20" w:after="20"/>
    </w:pPr>
    <w:rPr>
      <w:rFonts w:eastAsia="Times New Roman" w:cs="Times New Roman"/>
      <w:color w:val="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1F497D" w:themeFill="text2"/>
      </w:tcPr>
    </w:tblStylePr>
    <w:tblStylePr w:type="firstCol">
      <w:rPr>
        <w:b/>
      </w:rPr>
    </w:tblStylePr>
  </w:style>
  <w:style w:type="character" w:customStyle="1" w:styleId="Heading3Char">
    <w:name w:val="Heading 3 Char"/>
    <w:basedOn w:val="DefaultParagraphFont"/>
    <w:link w:val="Heading3"/>
    <w:rPr>
      <w:rFonts w:asciiTheme="majorHAnsi" w:eastAsiaTheme="majorEastAsia" w:hAnsiTheme="majorHAnsi" w:cstheme="majorBidi"/>
      <w:b/>
      <w:bCs/>
    </w:rPr>
  </w:style>
  <w:style w:type="paragraph" w:styleId="Header">
    <w:name w:val="header"/>
    <w:basedOn w:val="Normal"/>
    <w:link w:val="HeaderChar"/>
    <w:uiPriority w:val="99"/>
    <w:unhideWhenUsed/>
    <w:pPr>
      <w:tabs>
        <w:tab w:val="center" w:pos="4513"/>
        <w:tab w:val="right" w:pos="9026"/>
      </w:tabs>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next w:val="Normal"/>
    <w:link w:val="TitleChar"/>
    <w:uiPriority w:val="10"/>
    <w:semiHidden/>
    <w:rPr>
      <w:color w:val="029A83" w:themeColor="accent3"/>
      <w:sz w:val="72"/>
      <w:szCs w:val="72"/>
    </w:rPr>
  </w:style>
  <w:style w:type="character" w:customStyle="1" w:styleId="TitleChar">
    <w:name w:val="Title Char"/>
    <w:basedOn w:val="DefaultParagraphFont"/>
    <w:link w:val="Title"/>
    <w:uiPriority w:val="10"/>
    <w:rPr>
      <w:color w:val="029A83" w:themeColor="accent3"/>
      <w:sz w:val="72"/>
      <w:szCs w:val="72"/>
    </w:rPr>
  </w:style>
  <w:style w:type="paragraph" w:styleId="Subtitle">
    <w:name w:val="Subtitle"/>
    <w:basedOn w:val="Normal"/>
    <w:next w:val="Normal"/>
    <w:link w:val="SubtitleChar"/>
    <w:uiPriority w:val="11"/>
    <w:semiHidden/>
    <w:rPr>
      <w:sz w:val="52"/>
      <w:szCs w:val="52"/>
    </w:rPr>
  </w:style>
  <w:style w:type="character" w:customStyle="1" w:styleId="SubtitleChar">
    <w:name w:val="Subtitle Char"/>
    <w:basedOn w:val="DefaultParagraphFont"/>
    <w:link w:val="Subtitle"/>
    <w:uiPriority w:val="11"/>
    <w:rPr>
      <w:sz w:val="52"/>
      <w:szCs w:val="52"/>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auto"/>
      <w:sz w:val="28"/>
      <w:szCs w:val="28"/>
    </w:rPr>
  </w:style>
  <w:style w:type="paragraph" w:styleId="TOCHeading">
    <w:name w:val="TOC Heading"/>
    <w:next w:val="Normal"/>
    <w:uiPriority w:val="39"/>
    <w:semiHidden/>
    <w:unhideWhenUsed/>
    <w:pPr>
      <w:spacing w:after="240"/>
      <w:jc w:val="center"/>
    </w:pPr>
    <w:rPr>
      <w:rFonts w:asciiTheme="majorHAnsi" w:eastAsiaTheme="majorEastAsia" w:hAnsiTheme="majorHAnsi" w:cstheme="majorBidi"/>
      <w:b/>
      <w:caps/>
      <w:sz w:val="32"/>
      <w:szCs w:val="32"/>
      <w:lang w:val="en-US"/>
    </w:rPr>
  </w:style>
  <w:style w:type="numbering" w:customStyle="1" w:styleId="RBCHeadings">
    <w:name w:val="RBC Headings"/>
    <w:uiPriority w:val="99"/>
    <w:semiHidden/>
    <w:pPr>
      <w:numPr>
        <w:numId w:val="1"/>
      </w:numPr>
    </w:pPr>
  </w:style>
  <w:style w:type="paragraph" w:styleId="TOC1">
    <w:name w:val="toc 1"/>
    <w:basedOn w:val="Normal"/>
    <w:next w:val="Normal"/>
    <w:autoRedefine/>
    <w:uiPriority w:val="39"/>
    <w:unhideWhenUsed/>
    <w:pPr>
      <w:tabs>
        <w:tab w:val="left" w:pos="440"/>
        <w:tab w:val="right" w:leader="dot" w:pos="9060"/>
      </w:tabs>
      <w:spacing w:after="100"/>
      <w:ind w:left="442" w:hanging="442"/>
    </w:pPr>
  </w:style>
  <w:style w:type="character" w:customStyle="1" w:styleId="Heading2Char">
    <w:name w:val="Heading 2 Char"/>
    <w:basedOn w:val="DefaultParagraphFont"/>
    <w:link w:val="Heading2"/>
    <w:uiPriority w:val="2"/>
    <w:rPr>
      <w:rFonts w:asciiTheme="majorHAnsi" w:eastAsiaTheme="majorEastAsia" w:hAnsiTheme="majorHAnsi" w:cstheme="majorBidi"/>
      <w:b/>
      <w:bCs/>
      <w:color w:val="auto"/>
      <w:sz w:val="24"/>
      <w:szCs w:val="26"/>
    </w:rPr>
  </w:style>
  <w:style w:type="paragraph" w:styleId="TOC2">
    <w:name w:val="toc 2"/>
    <w:basedOn w:val="Normal"/>
    <w:next w:val="Normal"/>
    <w:autoRedefine/>
    <w:uiPriority w:val="39"/>
    <w:unhideWhenUsed/>
    <w:pPr>
      <w:spacing w:after="100"/>
      <w:ind w:left="884" w:hanging="442"/>
    </w:p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3"/>
    <w:unhideWhenUsed/>
    <w:qFormat/>
    <w:pPr>
      <w:numPr>
        <w:numId w:val="3"/>
      </w:numPr>
      <w:contextualSpacing/>
    </w:pPr>
  </w:style>
  <w:style w:type="numbering" w:customStyle="1" w:styleId="RBCBullets">
    <w:name w:val="RBC Bullets"/>
    <w:uiPriority w:val="99"/>
    <w:semiHidden/>
    <w:pPr>
      <w:numPr>
        <w:numId w:val="2"/>
      </w:numPr>
    </w:pPr>
  </w:style>
  <w:style w:type="numbering" w:styleId="111111">
    <w:name w:val="Outline List 2"/>
    <w:basedOn w:val="NoList"/>
    <w:uiPriority w:val="99"/>
    <w:semiHidden/>
    <w:unhideWhenUsed/>
    <w:pPr>
      <w:numPr>
        <w:numId w:val="4"/>
      </w:numPr>
    </w:pPr>
  </w:style>
  <w:style w:type="numbering" w:styleId="1ai">
    <w:name w:val="Outline List 1"/>
    <w:basedOn w:val="NoList"/>
    <w:uiPriority w:val="99"/>
    <w:semiHidden/>
    <w:unhideWhenUsed/>
    <w:pPr>
      <w:numPr>
        <w:numId w:val="5"/>
      </w:numP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pPr>
      <w:numPr>
        <w:numId w:val="6"/>
      </w:numPr>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aliases w:val=" (Norm),(Norm),- TF,1body,BodText,Body Text - Level 2,Body Text 12,Body Text-10,Body Text2,Body Txt,BodyText,Doc,Document,F2 Body Text,Standard paragraph,Text,Text Char1,body text,bt,doc,gl,heading3,uvlaka 2,Τίτλος Μελέτης"/>
    <w:basedOn w:val="Normal"/>
    <w:link w:val="BodyTextChar"/>
    <w:unhideWhenUsed/>
    <w:pPr>
      <w:spacing w:after="120"/>
    </w:pPr>
  </w:style>
  <w:style w:type="character" w:customStyle="1" w:styleId="BodyTextChar">
    <w:name w:val="Body Text Char"/>
    <w:aliases w:val=" (Norm) Char,- TF Char,1body Char,BodText Char,Body Text-10 Char,Body Text2 Char,Body Txt Char,BodyText Char,Doc Char,Document Char,F2 Body Text Char,Standard paragraph Char,Text Char,body text Char,bt Char,doc Char,Τίτλος Μελέτης Char"/>
    <w:basedOn w:val="DefaultParagraphFont"/>
    <w:link w:val="BodyText"/>
    <w:uiPriority w:val="99"/>
    <w:semiHidden/>
  </w:style>
  <w:style w:type="paragraph" w:styleId="BodyText21">
    <w:name w:val="Body Text 2"/>
    <w:basedOn w:val="Normal"/>
    <w:link w:val="BodyText2Char0"/>
    <w:uiPriority w:val="99"/>
    <w:semiHidden/>
    <w:unhideWhenUsed/>
    <w:pPr>
      <w:spacing w:after="120" w:line="480" w:lineRule="auto"/>
    </w:pPr>
  </w:style>
  <w:style w:type="character" w:customStyle="1" w:styleId="BodyText2Char0">
    <w:name w:val="Body Text 2 Char"/>
    <w:basedOn w:val="DefaultParagraphFont"/>
    <w:link w:val="BodyText21"/>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rPr>
      <w:b/>
      <w:bCs/>
      <w:smallCaps/>
      <w:spacing w:val="5"/>
    </w:rPr>
  </w:style>
  <w:style w:type="paragraph" w:styleId="Caption">
    <w:name w:val="caption"/>
    <w:basedOn w:val="Normal"/>
    <w:next w:val="Normal"/>
    <w:uiPriority w:val="35"/>
    <w:semiHidden/>
    <w:unhideWhenUsed/>
    <w:pPr>
      <w:spacing w:after="200"/>
    </w:pPr>
    <w:rPr>
      <w:b/>
      <w:bCs/>
      <w:color w:val="4F81BD" w:themeColor="accent1"/>
      <w:sz w:val="18"/>
      <w:szCs w:val="18"/>
    </w:rPr>
  </w:style>
  <w:style w:type="paragraph" w:styleId="Closing">
    <w:name w:val="Closing"/>
    <w:basedOn w:val="Normal"/>
    <w:link w:val="ClosingChar"/>
    <w:uiPriority w:val="99"/>
    <w:semiHidden/>
    <w:unhideWhenUsed/>
    <w:pPr>
      <w:ind w:left="4252"/>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Reference">
    <w:name w:val="Intense Reference"/>
    <w:basedOn w:val="DefaultParagraphFont"/>
    <w:uiPriority w:val="32"/>
    <w:semiHidden/>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Bullet5">
    <w:name w:val="List Bullet 5"/>
    <w:basedOn w:val="Normal"/>
    <w:uiPriority w:val="99"/>
    <w:semiHidden/>
    <w:unhideWhenUsed/>
    <w:pPr>
      <w:numPr>
        <w:numId w:val="10"/>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ListNumber5">
    <w:name w:val="List Number 5"/>
    <w:basedOn w:val="Normal"/>
    <w:uiPriority w:val="99"/>
    <w:semiHidden/>
    <w:unhideWhenUsed/>
    <w:pPr>
      <w:numPr>
        <w:numId w:val="15"/>
      </w:numPr>
      <w:contextualSpacing/>
    </w:pPr>
  </w:style>
  <w:style w:type="paragraph" w:styleId="ListParagraph">
    <w:name w:val="List Paragraph"/>
    <w:basedOn w:val="Normal"/>
    <w:uiPriority w:val="34"/>
    <w:qFormat/>
    <w:pPr>
      <w:ind w:left="720"/>
      <w:contextualSpacing/>
    </w:pPr>
  </w:style>
  <w:style w:type="paragraph" w:styleId="Macro">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customStyle="1"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nhideWhenUsed/>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rPr>
      <w:i/>
      <w:iCs/>
    </w:rPr>
  </w:style>
  <w:style w:type="character" w:customStyle="1" w:styleId="QuoteChar">
    <w:name w:val="Quote Char"/>
    <w:basedOn w:val="DefaultParagraphFont"/>
    <w:link w:val="Quote"/>
    <w:uiPriority w:val="29"/>
    <w:rPr>
      <w:i/>
      <w:iC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22"/>
    <w:semiHidden/>
    <w:rPr>
      <w:b/>
      <w:bCs/>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table" w:styleId="ColorfulListAccent4">
    <w:name w:val="Colorful List Accent 4"/>
    <w:basedOn w:val="TableNormal"/>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017B68" w:themeFill="accent3" w:themeFillShade="CC"/>
      </w:tcPr>
    </w:tblStylePr>
    <w:tblStylePr w:type="lastRow">
      <w:rPr>
        <w:b/>
        <w:bCs/>
        <w:color w:val="017B6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NoteStyle">
    <w:name w:val="Note Style"/>
    <w:rPr>
      <w:rFonts w:asciiTheme="majorHAnsi" w:hAnsiTheme="majorHAnsi"/>
      <w:color w:val="676767"/>
    </w:rPr>
  </w:style>
  <w:style w:type="table" w:customStyle="1" w:styleId="ColorfulList-Accent41">
    <w:name w:val="Colorful List - Accent 41"/>
    <w:basedOn w:val="TableNormal"/>
    <w:next w:val="ColorfulListAccent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017B68"/>
      </w:tcPr>
    </w:tblStylePr>
    <w:tblStylePr w:type="lastRow">
      <w:rPr>
        <w:b/>
        <w:bCs/>
        <w:color w:val="017B6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customStyle="1" w:styleId="CharCharCharCharCharCharCharCharCharCharCharCharCharCharCharCharCharCharCharChar">
    <w:name w:val="Char Char Char Char Char Char Char Char Char Char Char Char Char Char Char Char Char Char Char Char"/>
    <w:basedOn w:val="Normal"/>
    <w:pPr>
      <w:widowControl w:val="0"/>
      <w:adjustRightInd w:val="0"/>
      <w:spacing w:after="120" w:line="240" w:lineRule="exact"/>
      <w:jc w:val="both"/>
      <w:textAlignment w:val="baseline"/>
    </w:pPr>
    <w:rPr>
      <w:rFonts w:ascii="Verdana" w:eastAsia="Times New Roman" w:hAnsi="Verdana" w:cs="Times New Roman"/>
      <w:color w:val="auto"/>
      <w:sz w:val="20"/>
      <w:szCs w:val="20"/>
      <w:lang w:val="en-US"/>
    </w:rPr>
  </w:style>
  <w:style w:type="paragraph" w:customStyle="1" w:styleId="Default">
    <w:name w:val="Default"/>
    <w:pPr>
      <w:autoSpaceDE w:val="0"/>
      <w:autoSpaceDN w:val="0"/>
      <w:adjustRightInd w:val="0"/>
    </w:pPr>
    <w:rPr>
      <w:rFonts w:ascii="Arial" w:hAnsi="Arial" w:cs="Arial"/>
      <w:color w:val="000000"/>
      <w:sz w:val="24"/>
      <w:szCs w:val="24"/>
    </w:rPr>
  </w:style>
  <w:style w:type="table" w:customStyle="1"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4">
    <w:name w:val="Grid Table 5 Dark Accent 4"/>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1">
    <w:name w:val="Grid Table 5 Dark Accent 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1">
    <w:name w:val="Table Grid1"/>
    <w:basedOn w:val="TableNormal"/>
    <w:next w:val="TableGrid"/>
    <w:uiPriority w:val="39"/>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pPr>
      <w:numPr>
        <w:numId w:val="16"/>
      </w:numPr>
      <w:tabs>
        <w:tab w:val="left" w:pos="187"/>
      </w:tabs>
      <w:ind w:left="187" w:hanging="187"/>
    </w:pPr>
    <w:rPr>
      <w:rFonts w:ascii="Times New Roman" w:eastAsia="Times New Roman" w:hAnsi="Times New Roman" w:cs="Times New Roman"/>
      <w:color w:val="auto"/>
      <w:sz w:val="24"/>
      <w:szCs w:val="20"/>
    </w:rPr>
  </w:style>
  <w:style w:type="table" w:customStyle="1" w:styleId="TableGrid2">
    <w:name w:val="Table Grid2"/>
    <w:basedOn w:val="TableNormal"/>
    <w:next w:val="TableGrid"/>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semiHidden/>
    <w:rsid w:val="001E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glossaryDocument" Target="glossary/document.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163F50037E56742B0F7B6AE97273195"/>
        <w:category>
          <w:name w:val="General"/>
          <w:gallery w:val="placeholder"/>
        </w:category>
        <w:types>
          <w:type w:val="bbPlcHdr"/>
        </w:types>
        <w:behaviors>
          <w:behavior w:val="content"/>
        </w:behaviors>
        <w:guid w:val="{9FF6B75A-30F3-E74B-90F6-048E3B7CCE0C}"/>
      </w:docPartPr>
      <w:docPartBody>
        <w:p w:rsidR="00D411BF">
          <w:pPr>
            <w:pStyle w:val="D163F50037E56742B0F7B6AE97273195"/>
          </w:pPr>
          <w:r>
            <w:rPr>
              <w:rStyle w:val="PlaceholderText"/>
            </w:rPr>
            <w:t>[Title]</w:t>
          </w:r>
        </w:p>
      </w:docPartBody>
    </w:docPart>
    <w:docPart>
      <w:docPartPr>
        <w:name w:val="CF8072CDCC26674CB8C2EA03FE2D224C"/>
        <w:category>
          <w:name w:val="General"/>
          <w:gallery w:val="placeholder"/>
        </w:category>
        <w:types>
          <w:type w:val="bbPlcHdr"/>
        </w:types>
        <w:behaviors>
          <w:behavior w:val="content"/>
        </w:behaviors>
        <w:guid w:val="{7211B72A-8F28-6941-8071-706B3466AF15}"/>
      </w:docPartPr>
      <w:docPartBody>
        <w:p w:rsidR="00D411BF">
          <w:pPr>
            <w:pStyle w:val="CF8072CDCC26674CB8C2EA03FE2D224C"/>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comments="1" w:formatting="1" w:inkAnnotations="0" w:insDel="1" w:markup="1"/>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m:mathPr>
    <m:mathFont m:val="Cambria Math"/>
    <m:dispDef m:val="0"/>
    <m:wrapRight/>
    <m:naryLim m:val="subSup"/>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163F50037E56742B0F7B6AE97273195">
    <w:name w:val="D163F50037E56742B0F7B6AE97273195"/>
  </w:style>
  <w:style w:type="paragraph" w:customStyle="1" w:styleId="CF8072CDCC26674CB8C2EA03FE2D224C">
    <w:name w:val="CF8072CDCC26674CB8C2EA03FE2D2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Rochdale BC">
      <a:dk1>
        <a:sysClr val="windowText" lastClr="000000"/>
      </a:dk1>
      <a:lt1>
        <a:sysClr val="window" lastClr="FFFFFF"/>
      </a:lt1>
      <a:dk2>
        <a:srgbClr val="1F497D"/>
      </a:dk2>
      <a:lt2>
        <a:srgbClr val="EEECE1"/>
      </a:lt2>
      <a:accent1>
        <a:srgbClr val="4F81BD"/>
      </a:accent1>
      <a:accent2>
        <a:srgbClr val="C0504D"/>
      </a:accent2>
      <a:accent3>
        <a:srgbClr val="029A83"/>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68CA22F78B74E9F35F27A494C0E10" ma:contentTypeVersion="10" ma:contentTypeDescription="Create a new document." ma:contentTypeScope="" ma:versionID="1a4d195085807cba54742ac3af282b73">
  <xsd:schema xmlns:xsd="http://www.w3.org/2001/XMLSchema" xmlns:xs="http://www.w3.org/2001/XMLSchema" xmlns:p="http://schemas.microsoft.com/office/2006/metadata/properties" xmlns:ns1="http://schemas.microsoft.com/sharepoint/v3" xmlns:ns2="e34e8340-c518-4383-b841-31b14b78b1fa" targetNamespace="http://schemas.microsoft.com/office/2006/metadata/properties" ma:root="true" ma:fieldsID="261cec91d29ee987f2b796d01ac40073" ns1:_="" ns2:_="">
    <xsd:import namespace="http://schemas.microsoft.com/sharepoint/v3"/>
    <xsd:import namespace="e34e8340-c518-4383-b841-31b14b78b1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e8340-c518-4383-b841-31b14b78b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59A6F-88C9-4D85-8BFF-0B93A295907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66E8AA-08DC-480E-8CB3-2D5261ABCD51}">
  <ds:schemaRefs>
    <ds:schemaRef ds:uri="http://schemas.microsoft.com/sharepoint/v3/contenttype/forms"/>
  </ds:schemaRefs>
</ds:datastoreItem>
</file>

<file path=customXml/itemProps3.xml><?xml version="1.0" encoding="utf-8"?>
<ds:datastoreItem xmlns:ds="http://schemas.openxmlformats.org/officeDocument/2006/customXml" ds:itemID="{2F749D0D-0C79-4C33-A9A4-14C02EBFB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4e8340-c518-4383-b841-31b14b78b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9CE4B-012E-42B3-A9D2-8EB361A5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5589</Words>
  <Characters>31860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IDOX Enterprise and Capability Review</vt:lpstr>
    </vt:vector>
  </TitlesOfParts>
  <Company>Rochdale MBC</Company>
  <LinksUpToDate>false</LinksUpToDate>
  <CharactersWithSpaces>37375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IDOX Enterprise and Capability Review</dc:title>
  <dc:subject>Project Scope</dc:subject>
  <dc:creator>phussey@southribble.gov.uk</dc:creator>
  <cp:lastModifiedBy>Hussey,Paul</cp:lastModifiedBy>
  <cp:revision>2</cp:revision>
  <cp:lastPrinted>2018-06-01T13:27:00Z</cp:lastPrinted>
  <dcterms:created xsi:type="dcterms:W3CDTF">2019-12-02T16:44:00Z</dcterms:created>
  <dcterms:modified xsi:type="dcterms:W3CDTF">2019-12-02T16:44:00Z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0x01010022668CA22F78B74E9F35F27A494C0E10</vt:lpwstr>
  </property>
</Properties>
</file>